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eastAsia" w:ascii="Times New Roman" w:hAnsi="Times New Roman" w:eastAsia="方正小标宋简体"/>
          <w:sz w:val="44"/>
          <w:szCs w:val="44"/>
        </w:rPr>
      </w:pPr>
      <w:r>
        <w:rPr>
          <w:rFonts w:ascii="Times New Roman" w:hAnsi="Times New Roman"/>
          <w:sz w:val="24"/>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-198755</wp:posOffset>
                </wp:positionV>
                <wp:extent cx="2114550" cy="9048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14550" cy="904875"/>
                        </a:xfrm>
                        <a:prstGeom prst="rect">
                          <a:avLst/>
                        </a:prstGeom>
                        <a:noFill/>
                        <a:ln w="6350">
                          <a:noFill/>
                        </a:ln>
                        <a:effectLst/>
                      </wps:spPr>
                      <wps:txbx>
                        <w:txbxContent>
                          <w:p>
                            <w:pPr>
                              <w:spacing w:line="500" w:lineRule="exact"/>
                              <w:jc w:val="distribute"/>
                              <w:rPr>
                                <w:rFonts w:ascii="黑体" w:hAnsi="黑体" w:eastAsia="黑体" w:cs="黑体"/>
                                <w:w w:val="105"/>
                                <w:sz w:val="32"/>
                                <w:szCs w:val="32"/>
                              </w:rPr>
                            </w:pPr>
                            <w:r>
                              <w:rPr>
                                <w:rFonts w:hint="eastAsia" w:ascii="黑体" w:hAnsi="黑体" w:eastAsia="黑体" w:cs="黑体"/>
                                <w:w w:val="105"/>
                                <w:sz w:val="32"/>
                                <w:szCs w:val="32"/>
                              </w:rPr>
                              <w:t>县十八届人大</w:t>
                            </w:r>
                            <w:r>
                              <w:rPr>
                                <w:rFonts w:hint="eastAsia" w:ascii="黑体" w:hAnsi="黑体" w:eastAsia="黑体" w:cs="黑体"/>
                                <w:w w:val="105"/>
                                <w:sz w:val="32"/>
                                <w:szCs w:val="32"/>
                                <w:lang w:eastAsia="zh-CN"/>
                              </w:rPr>
                              <w:t>六</w:t>
                            </w:r>
                            <w:r>
                              <w:rPr>
                                <w:rFonts w:hint="eastAsia" w:ascii="黑体" w:hAnsi="黑体" w:eastAsia="黑体" w:cs="黑体"/>
                                <w:w w:val="105"/>
                                <w:sz w:val="32"/>
                                <w:szCs w:val="32"/>
                              </w:rPr>
                              <w:t>次</w:t>
                            </w:r>
                          </w:p>
                          <w:p>
                            <w:pPr>
                              <w:spacing w:line="500" w:lineRule="exact"/>
                              <w:jc w:val="distribute"/>
                              <w:rPr>
                                <w:rFonts w:ascii="黑体" w:hAnsi="黑体" w:eastAsia="黑体" w:cs="黑体"/>
                                <w:spacing w:val="-23"/>
                                <w:sz w:val="32"/>
                                <w:szCs w:val="32"/>
                              </w:rPr>
                            </w:pPr>
                            <w:r>
                              <w:rPr>
                                <w:rFonts w:hint="eastAsia" w:ascii="黑体" w:hAnsi="黑体" w:eastAsia="黑体" w:cs="黑体"/>
                                <w:spacing w:val="-23"/>
                                <w:sz w:val="32"/>
                                <w:szCs w:val="32"/>
                              </w:rPr>
                              <w:t>会议文件（</w:t>
                            </w:r>
                            <w:r>
                              <w:rPr>
                                <w:rFonts w:hint="eastAsia" w:ascii="黑体" w:hAnsi="黑体" w:eastAsia="黑体" w:cs="黑体"/>
                                <w:spacing w:val="-23"/>
                                <w:sz w:val="32"/>
                                <w:szCs w:val="32"/>
                                <w:lang w:eastAsia="zh-CN"/>
                              </w:rPr>
                              <w:t>二十一</w:t>
                            </w:r>
                            <w:r>
                              <w:rPr>
                                <w:rFonts w:hint="eastAsia" w:ascii="黑体" w:hAnsi="黑体" w:eastAsia="黑体" w:cs="黑体"/>
                                <w:spacing w:val="-23"/>
                                <w:sz w:val="32"/>
                                <w:szCs w:val="32"/>
                              </w:rPr>
                              <w:t>）</w:t>
                            </w:r>
                          </w:p>
                        </w:txbxContent>
                      </wps:txbx>
                      <wps:bodyPr upright="1"/>
                    </wps:wsp>
                  </a:graphicData>
                </a:graphic>
              </wp:anchor>
            </w:drawing>
          </mc:Choice>
          <mc:Fallback>
            <w:pict>
              <v:shape id="_x0000_s1026" o:spid="_x0000_s1026" o:spt="202" type="#_x0000_t202" style="position:absolute;left:0pt;margin-left:-0.8pt;margin-top:-15.65pt;height:71.25pt;width:166.5pt;z-index:251660288;mso-width-relative:page;mso-height-relative:page;" filled="f" stroked="f" coordsize="21600,21600" o:gfxdata="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MIbx2gAAAAoBAAAPAAAAAAAAAAEAIAAAACIAAABkcnMvZG93bnJldi54bWxQSwEC&#10;FAAUAAAACACHTuJATlLrdrkBAABlAwAADgAAAAAAAAABACAAAAApAQAAZHJzL2Uyb0RvYy54bWxQ&#10;SwUGAAAAAAYABgBZAQAAVAUAAAAA&#10;">
                <v:fill on="f" focussize="0,0"/>
                <v:stroke on="f" weight="0.5pt"/>
                <v:imagedata o:title=""/>
                <o:lock v:ext="edit" aspectratio="f"/>
                <v:textbox>
                  <w:txbxContent>
                    <w:p>
                      <w:pPr>
                        <w:spacing w:line="500" w:lineRule="exact"/>
                        <w:jc w:val="distribute"/>
                        <w:rPr>
                          <w:rFonts w:ascii="黑体" w:hAnsi="黑体" w:eastAsia="黑体" w:cs="黑体"/>
                          <w:w w:val="105"/>
                          <w:sz w:val="32"/>
                          <w:szCs w:val="32"/>
                        </w:rPr>
                      </w:pPr>
                      <w:r>
                        <w:rPr>
                          <w:rFonts w:hint="eastAsia" w:ascii="黑体" w:hAnsi="黑体" w:eastAsia="黑体" w:cs="黑体"/>
                          <w:w w:val="105"/>
                          <w:sz w:val="32"/>
                          <w:szCs w:val="32"/>
                        </w:rPr>
                        <w:t>县十八届人大</w:t>
                      </w:r>
                      <w:r>
                        <w:rPr>
                          <w:rFonts w:hint="eastAsia" w:ascii="黑体" w:hAnsi="黑体" w:eastAsia="黑体" w:cs="黑体"/>
                          <w:w w:val="105"/>
                          <w:sz w:val="32"/>
                          <w:szCs w:val="32"/>
                          <w:lang w:eastAsia="zh-CN"/>
                        </w:rPr>
                        <w:t>六</w:t>
                      </w:r>
                      <w:r>
                        <w:rPr>
                          <w:rFonts w:hint="eastAsia" w:ascii="黑体" w:hAnsi="黑体" w:eastAsia="黑体" w:cs="黑体"/>
                          <w:w w:val="105"/>
                          <w:sz w:val="32"/>
                          <w:szCs w:val="32"/>
                        </w:rPr>
                        <w:t>次</w:t>
                      </w:r>
                    </w:p>
                    <w:p>
                      <w:pPr>
                        <w:spacing w:line="500" w:lineRule="exact"/>
                        <w:jc w:val="distribute"/>
                        <w:rPr>
                          <w:rFonts w:ascii="黑体" w:hAnsi="黑体" w:eastAsia="黑体" w:cs="黑体"/>
                          <w:spacing w:val="-23"/>
                          <w:sz w:val="32"/>
                          <w:szCs w:val="32"/>
                        </w:rPr>
                      </w:pPr>
                      <w:r>
                        <w:rPr>
                          <w:rFonts w:hint="eastAsia" w:ascii="黑体" w:hAnsi="黑体" w:eastAsia="黑体" w:cs="黑体"/>
                          <w:spacing w:val="-23"/>
                          <w:sz w:val="32"/>
                          <w:szCs w:val="32"/>
                        </w:rPr>
                        <w:t>会议文件（</w:t>
                      </w:r>
                      <w:r>
                        <w:rPr>
                          <w:rFonts w:hint="eastAsia" w:ascii="黑体" w:hAnsi="黑体" w:eastAsia="黑体" w:cs="黑体"/>
                          <w:spacing w:val="-23"/>
                          <w:sz w:val="32"/>
                          <w:szCs w:val="32"/>
                          <w:lang w:eastAsia="zh-CN"/>
                        </w:rPr>
                        <w:t>二十一</w:t>
                      </w:r>
                      <w:r>
                        <w:rPr>
                          <w:rFonts w:hint="eastAsia" w:ascii="黑体" w:hAnsi="黑体" w:eastAsia="黑体" w:cs="黑体"/>
                          <w:spacing w:val="-23"/>
                          <w:sz w:val="32"/>
                          <w:szCs w:val="32"/>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Times New Roman" w:hAnsi="Times New Roman" w:eastAsia="方正小标宋简体"/>
          <w:sz w:val="34"/>
          <w:szCs w:val="34"/>
        </w:rPr>
      </w:pPr>
    </w:p>
    <w:p>
      <w:pPr>
        <w:keepNext w:val="0"/>
        <w:keepLines w:val="0"/>
        <w:pageBreakBefore w:val="0"/>
        <w:widowControl w:val="0"/>
        <w:kinsoku/>
        <w:wordWrap/>
        <w:overflowPunct/>
        <w:topLinePunct w:val="0"/>
        <w:autoSpaceDE/>
        <w:autoSpaceDN/>
        <w:bidi w:val="0"/>
        <w:adjustRightInd w:val="0"/>
        <w:snapToGrid/>
        <w:spacing w:line="540" w:lineRule="exact"/>
        <w:jc w:val="both"/>
        <w:textAlignment w:val="auto"/>
        <w:rPr>
          <w:rFonts w:hint="eastAsia" w:ascii="Times New Roman" w:hAnsi="Times New Roman" w:eastAsia="方正小标宋简体"/>
          <w:sz w:val="34"/>
          <w:szCs w:val="34"/>
        </w:rPr>
      </w:pPr>
    </w:p>
    <w:p>
      <w:pPr>
        <w:keepNext w:val="0"/>
        <w:keepLines w:val="0"/>
        <w:pageBreakBefore w:val="0"/>
        <w:widowControl w:val="0"/>
        <w:kinsoku/>
        <w:wordWrap/>
        <w:overflowPunct/>
        <w:topLinePunct w:val="0"/>
        <w:autoSpaceDE/>
        <w:autoSpaceDN/>
        <w:bidi w:val="0"/>
        <w:adjustRightInd w:val="0"/>
        <w:snapToGrid/>
        <w:spacing w:line="620" w:lineRule="exact"/>
        <w:jc w:val="center"/>
        <w:textAlignment w:val="auto"/>
        <w:rPr>
          <w:rFonts w:ascii="Times New Roman" w:hAnsi="Times New Roman" w:eastAsia="方正小标宋简体"/>
          <w:sz w:val="46"/>
          <w:szCs w:val="46"/>
        </w:rPr>
      </w:pPr>
      <w:r>
        <w:rPr>
          <w:rFonts w:hint="eastAsia" w:ascii="Times New Roman" w:hAnsi="Times New Roman" w:eastAsia="方正小标宋简体"/>
          <w:sz w:val="46"/>
          <w:szCs w:val="46"/>
        </w:rPr>
        <w:t>关于全南县</w:t>
      </w:r>
      <w:r>
        <w:rPr>
          <w:rFonts w:hint="eastAsia" w:ascii="Times New Roman" w:hAnsi="Times New Roman" w:eastAsiaTheme="minorEastAsia" w:cstheme="minorEastAsia"/>
          <w:b/>
          <w:bCs/>
          <w:sz w:val="46"/>
          <w:szCs w:val="46"/>
        </w:rPr>
        <w:t>2020</w:t>
      </w:r>
      <w:r>
        <w:rPr>
          <w:rFonts w:hint="eastAsia" w:ascii="Times New Roman" w:hAnsi="Times New Roman" w:eastAsia="方正小标宋简体"/>
          <w:sz w:val="46"/>
          <w:szCs w:val="46"/>
        </w:rPr>
        <w:t>年财政预算执行情况和</w:t>
      </w:r>
    </w:p>
    <w:p>
      <w:pPr>
        <w:keepNext w:val="0"/>
        <w:keepLines w:val="0"/>
        <w:pageBreakBefore w:val="0"/>
        <w:widowControl w:val="0"/>
        <w:kinsoku/>
        <w:wordWrap/>
        <w:overflowPunct/>
        <w:topLinePunct w:val="0"/>
        <w:autoSpaceDE/>
        <w:autoSpaceDN/>
        <w:bidi w:val="0"/>
        <w:adjustRightInd w:val="0"/>
        <w:snapToGrid/>
        <w:spacing w:line="620" w:lineRule="exact"/>
        <w:jc w:val="center"/>
        <w:textAlignment w:val="auto"/>
        <w:rPr>
          <w:rFonts w:hint="eastAsia" w:ascii="Times New Roman" w:hAnsi="Times New Roman" w:eastAsia="方正小标宋简体"/>
          <w:sz w:val="46"/>
          <w:szCs w:val="46"/>
          <w:lang w:eastAsia="zh-CN"/>
        </w:rPr>
      </w:pPr>
      <w:r>
        <w:rPr>
          <w:rFonts w:hint="eastAsia" w:ascii="Times New Roman" w:hAnsi="Times New Roman" w:eastAsiaTheme="minorEastAsia" w:cstheme="minorEastAsia"/>
          <w:b/>
          <w:bCs/>
          <w:sz w:val="46"/>
          <w:szCs w:val="46"/>
        </w:rPr>
        <w:t>2021</w:t>
      </w:r>
      <w:r>
        <w:rPr>
          <w:rFonts w:hint="eastAsia" w:ascii="Times New Roman" w:hAnsi="Times New Roman" w:eastAsia="方正小标宋简体"/>
          <w:sz w:val="46"/>
          <w:szCs w:val="46"/>
        </w:rPr>
        <w:t>年财政预算草案的报告</w:t>
      </w:r>
      <w:r>
        <w:rPr>
          <w:rFonts w:hint="eastAsia" w:ascii="Times New Roman" w:hAnsi="Times New Roman" w:eastAsia="方正小标宋简体"/>
          <w:sz w:val="46"/>
          <w:szCs w:val="46"/>
          <w:lang w:eastAsia="zh-CN"/>
        </w:rPr>
        <w:t>（书面）</w:t>
      </w:r>
    </w:p>
    <w:p>
      <w:pPr>
        <w:pStyle w:val="2"/>
        <w:keepNext/>
        <w:keepLines/>
        <w:pageBreakBefore w:val="0"/>
        <w:widowControl w:val="0"/>
        <w:kinsoku/>
        <w:wordWrap/>
        <w:overflowPunct/>
        <w:topLinePunct w:val="0"/>
        <w:autoSpaceDE/>
        <w:autoSpaceDN/>
        <w:bidi w:val="0"/>
        <w:adjustRightInd/>
        <w:snapToGrid/>
        <w:spacing w:line="20" w:lineRule="exact"/>
        <w:textAlignment w:val="auto"/>
        <w:rPr>
          <w:rFonts w:ascii="Times New Roman" w:hAnsi="Times New Roman"/>
          <w:sz w:val="21"/>
          <w:szCs w:val="21"/>
        </w:rPr>
      </w:pPr>
    </w:p>
    <w:p>
      <w:pPr>
        <w:keepNext w:val="0"/>
        <w:keepLines w:val="0"/>
        <w:pageBreakBefore w:val="0"/>
        <w:widowControl w:val="0"/>
        <w:kinsoku/>
        <w:wordWrap/>
        <w:overflowPunct/>
        <w:topLinePunct w:val="0"/>
        <w:autoSpaceDE/>
        <w:autoSpaceDN/>
        <w:bidi w:val="0"/>
        <w:adjustRightInd w:val="0"/>
        <w:snapToGrid w:val="0"/>
        <w:spacing w:beforeLines="0" w:afterLines="0" w:line="620" w:lineRule="exact"/>
        <w:jc w:val="center"/>
        <w:textAlignment w:val="auto"/>
        <w:rPr>
          <w:rFonts w:hint="eastAsia" w:ascii="仿宋_GB2312" w:hAnsi="仿宋_GB2312" w:eastAsia="仿宋_GB2312" w:cs="仿宋_GB2312"/>
          <w:color w:val="000000"/>
          <w:sz w:val="34"/>
          <w:szCs w:val="34"/>
        </w:rPr>
      </w:pPr>
      <w:r>
        <w:rPr>
          <w:rFonts w:hint="eastAsia" w:ascii="Times New Roman" w:hAnsi="Times New Roman" w:cs="Times New Roman"/>
          <w:color w:val="000000"/>
          <w:sz w:val="34"/>
          <w:szCs w:val="34"/>
          <w:lang w:eastAsia="zh-CN"/>
        </w:rPr>
        <w:t>──</w:t>
      </w:r>
      <w:r>
        <w:rPr>
          <w:rFonts w:hint="default" w:ascii="Times New Roman" w:hAnsi="Times New Roman" w:eastAsia="仿宋_GB2312" w:cs="Times New Roman"/>
          <w:color w:val="000000"/>
          <w:sz w:val="34"/>
          <w:szCs w:val="34"/>
        </w:rPr>
        <w:t>202</w:t>
      </w:r>
      <w:r>
        <w:rPr>
          <w:rFonts w:hint="default" w:ascii="Times New Roman" w:hAnsi="Times New Roman" w:eastAsia="仿宋_GB2312" w:cs="Times New Roman"/>
          <w:color w:val="000000"/>
          <w:sz w:val="34"/>
          <w:szCs w:val="34"/>
          <w:lang w:val="en-US" w:eastAsia="zh-CN"/>
        </w:rPr>
        <w:t>1</w:t>
      </w:r>
      <w:r>
        <w:rPr>
          <w:rFonts w:hint="eastAsia" w:ascii="仿宋_GB2312" w:hAnsi="仿宋_GB2312" w:eastAsia="仿宋_GB2312" w:cs="仿宋_GB2312"/>
          <w:color w:val="000000"/>
          <w:sz w:val="34"/>
          <w:szCs w:val="34"/>
        </w:rPr>
        <w:t>年</w:t>
      </w:r>
      <w:r>
        <w:rPr>
          <w:rFonts w:hint="default" w:ascii="Times New Roman" w:hAnsi="Times New Roman" w:cs="Times New Roman"/>
          <w:color w:val="000000"/>
          <w:sz w:val="34"/>
          <w:szCs w:val="34"/>
          <w:lang w:val="en-US" w:eastAsia="zh-CN"/>
        </w:rPr>
        <w:t>3</w:t>
      </w:r>
      <w:r>
        <w:rPr>
          <w:rFonts w:hint="eastAsia" w:ascii="仿宋_GB2312" w:hAnsi="仿宋_GB2312" w:eastAsia="仿宋_GB2312" w:cs="仿宋_GB2312"/>
          <w:color w:val="000000"/>
          <w:sz w:val="34"/>
          <w:szCs w:val="34"/>
        </w:rPr>
        <w:t>月</w:t>
      </w:r>
      <w:r>
        <w:rPr>
          <w:rFonts w:hint="default" w:ascii="Times New Roman" w:hAnsi="Times New Roman" w:cs="Times New Roman"/>
          <w:color w:val="000000"/>
          <w:sz w:val="34"/>
          <w:szCs w:val="34"/>
          <w:lang w:val="en-US" w:eastAsia="zh-CN"/>
        </w:rPr>
        <w:t>3</w:t>
      </w:r>
      <w:r>
        <w:rPr>
          <w:rFonts w:hint="eastAsia" w:ascii="仿宋_GB2312" w:hAnsi="仿宋_GB2312" w:eastAsia="仿宋_GB2312" w:cs="仿宋_GB2312"/>
          <w:color w:val="000000"/>
          <w:sz w:val="34"/>
          <w:szCs w:val="34"/>
        </w:rPr>
        <w:t>日在全南县第十八届</w:t>
      </w:r>
    </w:p>
    <w:p>
      <w:pPr>
        <w:keepNext w:val="0"/>
        <w:keepLines w:val="0"/>
        <w:pageBreakBefore w:val="0"/>
        <w:widowControl w:val="0"/>
        <w:kinsoku/>
        <w:wordWrap/>
        <w:overflowPunct/>
        <w:topLinePunct w:val="0"/>
        <w:autoSpaceDE/>
        <w:autoSpaceDN/>
        <w:bidi w:val="0"/>
        <w:adjustRightInd w:val="0"/>
        <w:snapToGrid w:val="0"/>
        <w:spacing w:beforeLines="0" w:afterLines="0" w:line="620" w:lineRule="exact"/>
        <w:jc w:val="center"/>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人民代表大会第</w:t>
      </w:r>
      <w:r>
        <w:rPr>
          <w:rFonts w:hint="eastAsia" w:ascii="仿宋_GB2312" w:hAnsi="仿宋_GB2312" w:eastAsia="仿宋_GB2312" w:cs="仿宋_GB2312"/>
          <w:color w:val="000000"/>
          <w:sz w:val="34"/>
          <w:szCs w:val="34"/>
          <w:lang w:eastAsia="zh-CN"/>
        </w:rPr>
        <w:t>六</w:t>
      </w:r>
      <w:r>
        <w:rPr>
          <w:rFonts w:hint="eastAsia" w:ascii="仿宋_GB2312" w:hAnsi="仿宋_GB2312" w:eastAsia="仿宋_GB2312" w:cs="仿宋_GB2312"/>
          <w:color w:val="000000"/>
          <w:sz w:val="34"/>
          <w:szCs w:val="34"/>
        </w:rPr>
        <w:t>次会议上</w:t>
      </w:r>
    </w:p>
    <w:p>
      <w:pPr>
        <w:pStyle w:val="5"/>
        <w:keepNext w:val="0"/>
        <w:keepLines w:val="0"/>
        <w:pageBreakBefore w:val="0"/>
        <w:widowControl w:val="0"/>
        <w:kinsoku/>
        <w:wordWrap/>
        <w:overflowPunct/>
        <w:topLinePunct w:val="0"/>
        <w:autoSpaceDE/>
        <w:autoSpaceDN/>
        <w:bidi w:val="0"/>
        <w:adjustRightInd/>
        <w:snapToGrid/>
        <w:spacing w:line="620" w:lineRule="exact"/>
        <w:ind w:firstLine="0"/>
        <w:jc w:val="center"/>
        <w:textAlignment w:val="auto"/>
        <w:rPr>
          <w:rFonts w:hint="eastAsia" w:ascii="Times New Roman" w:hAnsi="Times New Roman" w:eastAsia="楷体_GB2312" w:cs="楷体_GB2312"/>
          <w:kern w:val="0"/>
          <w:sz w:val="34"/>
          <w:szCs w:val="34"/>
        </w:rPr>
      </w:pPr>
      <w:r>
        <w:rPr>
          <w:rFonts w:hint="eastAsia" w:ascii="仿宋_GB2312" w:hAnsi="仿宋_GB2312" w:eastAsia="仿宋_GB2312" w:cs="仿宋_GB2312"/>
          <w:kern w:val="0"/>
          <w:sz w:val="34"/>
          <w:szCs w:val="34"/>
        </w:rPr>
        <w:t>县财政局局长  曾慧华</w:t>
      </w:r>
    </w:p>
    <w:p>
      <w:pPr>
        <w:pStyle w:val="5"/>
        <w:spacing w:line="560" w:lineRule="exact"/>
        <w:ind w:firstLine="0"/>
        <w:rPr>
          <w:rFonts w:ascii="Times New Roman" w:hAnsi="Times New Roman" w:eastAsia="楷体_GB2312"/>
          <w:ker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各位代表：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受县人民政府委托，由我向大会书面报告全南县2020年财政预算执行情况和2021年财政预算草案，请予审议，并请各位政协委员和其他列席会议的同志提出意见。</w:t>
      </w:r>
    </w:p>
    <w:p>
      <w:pPr>
        <w:keepNext w:val="0"/>
        <w:keepLines w:val="0"/>
        <w:pageBreakBefore w:val="0"/>
        <w:widowControl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黑体" w:cs="黑体"/>
          <w:bCs/>
          <w:kern w:val="0"/>
          <w:sz w:val="34"/>
          <w:szCs w:val="34"/>
        </w:rPr>
      </w:pPr>
      <w:r>
        <w:rPr>
          <w:rFonts w:hint="eastAsia" w:ascii="Times New Roman" w:hAnsi="Times New Roman" w:eastAsia="黑体" w:cs="黑体"/>
          <w:bCs/>
          <w:kern w:val="0"/>
          <w:sz w:val="34"/>
          <w:szCs w:val="34"/>
        </w:rPr>
        <w:t>一、2020年财政预算执行情况</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楷体_GB2312" w:cs="楷体_GB2312"/>
          <w:kern w:val="0"/>
          <w:sz w:val="34"/>
          <w:szCs w:val="34"/>
        </w:rPr>
      </w:pPr>
      <w:r>
        <w:rPr>
          <w:rFonts w:hint="eastAsia" w:ascii="Times New Roman" w:hAnsi="Times New Roman" w:eastAsia="楷体_GB2312" w:cs="楷体_GB2312"/>
          <w:b/>
          <w:bCs/>
          <w:kern w:val="0"/>
          <w:sz w:val="34"/>
          <w:szCs w:val="34"/>
        </w:rPr>
        <w:t>（一）2020年财政预算收支执行情况</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楷体_GB2312" w:cs="楷体_GB2312"/>
          <w:b/>
          <w:kern w:val="0"/>
          <w:sz w:val="34"/>
          <w:szCs w:val="34"/>
        </w:rPr>
      </w:pPr>
      <w:r>
        <w:rPr>
          <w:rFonts w:hint="eastAsia" w:ascii="Times New Roman" w:hAnsi="Times New Roman" w:eastAsia="楷体_GB2312" w:cs="楷体_GB2312"/>
          <w:b/>
          <w:kern w:val="0"/>
          <w:sz w:val="34"/>
          <w:szCs w:val="34"/>
        </w:rPr>
        <w:t>1.公共财政预算收支执行情况</w:t>
      </w:r>
    </w:p>
    <w:p>
      <w:pPr>
        <w:keepNext w:val="0"/>
        <w:keepLines w:val="0"/>
        <w:pageBreakBefore w:val="0"/>
        <w:widowControl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全县财政总收入10.44亿元，比上年减收4683万元，下降4.3%。其中：税务征收7.35亿元，下降18.1%；财政征收3.08亿元，增长59.6%。</w:t>
      </w:r>
    </w:p>
    <w:p>
      <w:pPr>
        <w:keepNext w:val="0"/>
        <w:keepLines w:val="0"/>
        <w:pageBreakBefore w:val="0"/>
        <w:widowControl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公共财政预算收入7.24亿元，比上年增收4192万元，增长6.1%。其中：税收收入4.16亿元，下降15%；非税收入3.08亿元，增长59.6%。</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全县公共财政预算支出38.82亿元, 同比增支5.88亿元，增长17.9%。主要支出项目完成情况是：</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（1）一般公共服务支出5.41亿元，增长14.2%；</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（2）国防支出306万元，增长21倍；</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（3）公共安全支出1.34亿元，增长8.3%；</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（4）教育支出5.35亿元，增长6.3%。其中：普通教育支出4.94亿元，增长9.9%；</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（5）科学技术支出8355万元，增长24.9%；</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（6）文化体育与传媒支出4089万元，增长98.1%；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（7）社会保障和就业支出3.96亿元，增长27.6%；</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（8）卫生健康支出5.79亿元，增长12.1%；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（9）节能环保支出1.16亿元，增长5.2%；</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（10）城乡社区</w:t>
      </w:r>
      <w:r>
        <w:rPr>
          <w:rFonts w:hint="eastAsia" w:ascii="Times New Roman" w:hAnsi="Times New Roman" w:eastAsia="仿宋_GB2312" w:cs="仿宋_GB2312"/>
          <w:sz w:val="34"/>
          <w:szCs w:val="34"/>
          <w:lang w:eastAsia="zh-CN"/>
        </w:rPr>
        <w:t>事务</w:t>
      </w:r>
      <w:r>
        <w:rPr>
          <w:rFonts w:hint="eastAsia" w:ascii="Times New Roman" w:hAnsi="Times New Roman" w:eastAsia="仿宋_GB2312" w:cs="仿宋_GB2312"/>
          <w:sz w:val="34"/>
          <w:szCs w:val="34"/>
        </w:rPr>
        <w:t>支出7.4亿元，下降5.3%；</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（11）农林水</w:t>
      </w:r>
      <w:r>
        <w:rPr>
          <w:rFonts w:hint="eastAsia" w:ascii="Times New Roman" w:hAnsi="Times New Roman" w:eastAsia="仿宋_GB2312" w:cs="仿宋_GB2312"/>
          <w:sz w:val="34"/>
          <w:szCs w:val="34"/>
          <w:lang w:eastAsia="zh-CN"/>
        </w:rPr>
        <w:t>事务</w:t>
      </w:r>
      <w:r>
        <w:rPr>
          <w:rFonts w:hint="eastAsia" w:ascii="Times New Roman" w:hAnsi="Times New Roman" w:eastAsia="仿宋_GB2312" w:cs="仿宋_GB2312"/>
          <w:sz w:val="34"/>
          <w:szCs w:val="34"/>
        </w:rPr>
        <w:t>支出3.46亿元，增长11.9%；</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（12）交通运输支出8422万元，增长8.3倍；</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（13）资源勘探信息等支出1.32亿元，增长26倍；</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（14）商业服务业等支出482万元，增长39.3%；</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（15）金融支出174万元，增长45%；</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（16）自然资源海洋气象等支出3056万元，增长2.6倍；</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（17）住房保障支出3933万元，增长1.9倍；</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（18）粮油物资储备支出474万元，增长72.4%；</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（19）灾害防治及应急管理支出4228万元，增长1.9倍；</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（20）债务付息支出2603万元，增长29.4%；</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（21）债务发行费支出28万元，增长50%。</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楷体_GB2312" w:cs="楷体_GB2312"/>
          <w:b/>
          <w:kern w:val="0"/>
          <w:sz w:val="34"/>
          <w:szCs w:val="34"/>
        </w:rPr>
      </w:pPr>
      <w:r>
        <w:rPr>
          <w:rFonts w:hint="eastAsia" w:ascii="Times New Roman" w:hAnsi="Times New Roman" w:eastAsia="楷体_GB2312" w:cs="楷体_GB2312"/>
          <w:b/>
          <w:kern w:val="0"/>
          <w:sz w:val="34"/>
          <w:szCs w:val="34"/>
        </w:rPr>
        <w:t>2.政府性基金预算收支执行情况</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基金收入8.27亿元，同比减收3.71亿元，减少31%。其中：</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（1）国有土地收益基金收入3860万元，下降35.1%；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（2）农业土地开发资金收入136万元，下降59.2%；</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（3）国有土地使用权出让金收入7.83亿元，下降30.3%；</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（4）彩票公益金收入126万元，下降56.1%；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（5）污水处理费收入299万元，增长18.7%；</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全年完成政府性基金支出15.12亿元，同比增支5.11亿元，增长51.1%。主要支出项目完成情况是：</w:t>
      </w:r>
    </w:p>
    <w:p>
      <w:pPr>
        <w:keepNext w:val="0"/>
        <w:keepLines w:val="0"/>
        <w:pageBreakBefore w:val="0"/>
        <w:widowControl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（1）社会保障和就业支出299万元；</w:t>
      </w:r>
    </w:p>
    <w:p>
      <w:pPr>
        <w:keepNext w:val="0"/>
        <w:keepLines w:val="0"/>
        <w:pageBreakBefore w:val="0"/>
        <w:widowControl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（2）城乡社区事务支出7.99亿元。其中：国有土地使用权出让金支出7.08亿元，国有土地收益基金支出3519万元，棚户区改造专项债券支出5502万元，城市基础设施配套费支出107万元；</w:t>
      </w:r>
    </w:p>
    <w:p>
      <w:pPr>
        <w:keepNext w:val="0"/>
        <w:keepLines w:val="0"/>
        <w:pageBreakBefore w:val="0"/>
        <w:kinsoku/>
        <w:wordWrap/>
        <w:overflowPunct/>
        <w:topLinePunct w:val="0"/>
        <w:autoSpaceDE/>
        <w:autoSpaceDN/>
        <w:bidi w:val="0"/>
        <w:adjustRightInd/>
        <w:snapToGrid/>
        <w:spacing w:line="640" w:lineRule="exact"/>
        <w:ind w:left="640" w:left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w:t>
      </w:r>
      <w:r>
        <w:rPr>
          <w:rFonts w:hint="eastAsia" w:ascii="Times New Roman" w:hAnsi="Times New Roman" w:eastAsia="仿宋_GB2312" w:cs="仿宋_GB2312"/>
          <w:sz w:val="34"/>
          <w:szCs w:val="34"/>
          <w:lang w:val="en-US" w:eastAsia="zh-CN"/>
        </w:rPr>
        <w:t>3</w:t>
      </w:r>
      <w:r>
        <w:rPr>
          <w:rFonts w:hint="eastAsia" w:ascii="Times New Roman" w:hAnsi="Times New Roman" w:eastAsia="仿宋_GB2312" w:cs="仿宋_GB2312"/>
          <w:sz w:val="34"/>
          <w:szCs w:val="34"/>
        </w:rPr>
        <w:t>）农林水事务支出3万元；</w:t>
      </w:r>
    </w:p>
    <w:p>
      <w:pPr>
        <w:keepNext w:val="0"/>
        <w:keepLines w:val="0"/>
        <w:pageBreakBefore w:val="0"/>
        <w:kinsoku/>
        <w:wordWrap/>
        <w:overflowPunct/>
        <w:topLinePunct w:val="0"/>
        <w:autoSpaceDE/>
        <w:autoSpaceDN/>
        <w:bidi w:val="0"/>
        <w:adjustRightInd/>
        <w:snapToGrid/>
        <w:spacing w:line="640" w:lineRule="exact"/>
        <w:ind w:left="640" w:left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w:t>
      </w:r>
      <w:r>
        <w:rPr>
          <w:rFonts w:hint="eastAsia" w:ascii="Times New Roman" w:hAnsi="Times New Roman" w:eastAsia="仿宋_GB2312" w:cs="仿宋_GB2312"/>
          <w:sz w:val="34"/>
          <w:szCs w:val="34"/>
          <w:lang w:val="en-US" w:eastAsia="zh-CN"/>
        </w:rPr>
        <w:t>4</w:t>
      </w:r>
      <w:r>
        <w:rPr>
          <w:rFonts w:hint="eastAsia" w:ascii="Times New Roman" w:hAnsi="Times New Roman" w:eastAsia="仿宋_GB2312" w:cs="仿宋_GB2312"/>
          <w:sz w:val="34"/>
          <w:szCs w:val="34"/>
        </w:rPr>
        <w:t>）彩票公益金支出1137万元；</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w:t>
      </w:r>
      <w:r>
        <w:rPr>
          <w:rFonts w:hint="eastAsia" w:ascii="Times New Roman" w:hAnsi="Times New Roman" w:eastAsia="仿宋_GB2312" w:cs="仿宋_GB2312"/>
          <w:sz w:val="34"/>
          <w:szCs w:val="34"/>
          <w:lang w:val="en-US" w:eastAsia="zh-CN"/>
        </w:rPr>
        <w:t>5</w:t>
      </w:r>
      <w:r>
        <w:rPr>
          <w:rFonts w:hint="eastAsia" w:ascii="Times New Roman" w:hAnsi="Times New Roman" w:eastAsia="仿宋_GB2312" w:cs="仿宋_GB2312"/>
          <w:sz w:val="34"/>
          <w:szCs w:val="34"/>
        </w:rPr>
        <w:t>）其他政府性基金支出6.42亿元；</w:t>
      </w:r>
    </w:p>
    <w:p>
      <w:pPr>
        <w:keepNext w:val="0"/>
        <w:keepLines w:val="0"/>
        <w:pageBreakBefore w:val="0"/>
        <w:kinsoku/>
        <w:wordWrap/>
        <w:overflowPunct/>
        <w:topLinePunct w:val="0"/>
        <w:autoSpaceDE/>
        <w:autoSpaceDN/>
        <w:bidi w:val="0"/>
        <w:adjustRightInd/>
        <w:snapToGrid/>
        <w:spacing w:line="640" w:lineRule="exact"/>
        <w:ind w:left="640" w:left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w:t>
      </w:r>
      <w:r>
        <w:rPr>
          <w:rFonts w:hint="eastAsia" w:ascii="Times New Roman" w:hAnsi="Times New Roman" w:eastAsia="仿宋_GB2312" w:cs="仿宋_GB2312"/>
          <w:sz w:val="34"/>
          <w:szCs w:val="34"/>
          <w:lang w:val="en-US" w:eastAsia="zh-CN"/>
        </w:rPr>
        <w:t>6</w:t>
      </w:r>
      <w:r>
        <w:rPr>
          <w:rFonts w:hint="eastAsia" w:ascii="Times New Roman" w:hAnsi="Times New Roman" w:eastAsia="仿宋_GB2312" w:cs="仿宋_GB2312"/>
          <w:sz w:val="34"/>
          <w:szCs w:val="34"/>
        </w:rPr>
        <w:t>）债务付息及发行费支出2888万元</w:t>
      </w:r>
    </w:p>
    <w:p>
      <w:pPr>
        <w:keepNext w:val="0"/>
        <w:keepLines w:val="0"/>
        <w:pageBreakBefore w:val="0"/>
        <w:kinsoku/>
        <w:wordWrap/>
        <w:overflowPunct/>
        <w:topLinePunct w:val="0"/>
        <w:autoSpaceDE/>
        <w:autoSpaceDN/>
        <w:bidi w:val="0"/>
        <w:adjustRightInd/>
        <w:snapToGrid/>
        <w:spacing w:line="640" w:lineRule="exact"/>
        <w:ind w:left="640" w:left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w:t>
      </w:r>
      <w:r>
        <w:rPr>
          <w:rFonts w:hint="eastAsia" w:ascii="Times New Roman" w:hAnsi="Times New Roman" w:eastAsia="仿宋_GB2312" w:cs="仿宋_GB2312"/>
          <w:sz w:val="34"/>
          <w:szCs w:val="34"/>
          <w:lang w:val="en-US" w:eastAsia="zh-CN"/>
        </w:rPr>
        <w:t>7</w:t>
      </w:r>
      <w:r>
        <w:rPr>
          <w:rFonts w:hint="eastAsia" w:ascii="Times New Roman" w:hAnsi="Times New Roman" w:eastAsia="仿宋_GB2312" w:cs="仿宋_GB2312"/>
          <w:sz w:val="34"/>
          <w:szCs w:val="34"/>
        </w:rPr>
        <w:t>）抗疫特别国债支出2705万元。</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楷体_GB2312" w:cs="楷体_GB2312"/>
          <w:b/>
          <w:kern w:val="0"/>
          <w:sz w:val="34"/>
          <w:szCs w:val="34"/>
        </w:rPr>
      </w:pPr>
      <w:r>
        <w:rPr>
          <w:rFonts w:hint="eastAsia" w:ascii="Times New Roman" w:hAnsi="Times New Roman" w:eastAsia="楷体_GB2312" w:cs="楷体_GB2312"/>
          <w:b/>
          <w:kern w:val="0"/>
          <w:sz w:val="34"/>
          <w:szCs w:val="34"/>
        </w:rPr>
        <w:t>3.社会保险基金预算收支执行情况</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社会保险基金收入1.72亿元，同比增收1449万元，增长9</w:t>
      </w:r>
      <w:r>
        <w:rPr>
          <w:rFonts w:hint="eastAsia" w:ascii="Times New Roman" w:hAnsi="Times New Roman" w:cs="仿宋_GB2312"/>
          <w:kern w:val="0"/>
          <w:sz w:val="34"/>
          <w:szCs w:val="34"/>
          <w:lang w:val="en-US" w:eastAsia="zh-CN"/>
        </w:rPr>
        <w:t>.2</w:t>
      </w:r>
      <w:r>
        <w:rPr>
          <w:rFonts w:hint="eastAsia" w:ascii="Times New Roman" w:hAnsi="Times New Roman" w:eastAsia="仿宋_GB2312" w:cs="仿宋_GB2312"/>
          <w:kern w:val="0"/>
          <w:sz w:val="34"/>
          <w:szCs w:val="34"/>
        </w:rPr>
        <w:t>%。其中：</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（1）保险费收入8756万元，下降11%；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（2）利息收入340万元，增长39.2%；</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（3）财政补贴收入7874万元，增长3.7%；</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（4）转移收入268万元，增长3.3倍；</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社会保险基金支出1.49亿元，同比增支510万元，增长3.5%。其中：</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（1）社会保险待遇支出1.48亿元，同比增长3.1%；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（2）转移支出18.9万元，增长4.5倍；</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（3）上解上级支出89.6万元，增长19.4%；</w:t>
      </w:r>
    </w:p>
    <w:p>
      <w:pPr>
        <w:pStyle w:val="3"/>
        <w:keepNext w:val="0"/>
        <w:keepLines w:val="0"/>
        <w:pageBreakBefore w:val="0"/>
        <w:kinsoku/>
        <w:wordWrap/>
        <w:overflowPunct/>
        <w:topLinePunct w:val="0"/>
        <w:autoSpaceDE/>
        <w:autoSpaceDN/>
        <w:bidi w:val="0"/>
        <w:adjustRightInd/>
        <w:snapToGrid/>
        <w:spacing w:line="640" w:lineRule="exact"/>
        <w:ind w:firstLine="64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kern w:val="0"/>
          <w:sz w:val="34"/>
          <w:szCs w:val="34"/>
        </w:rPr>
        <w:t>（4）其他支出30.98万元。</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年末滚存结余1.4亿元。</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楷体_GB2312" w:cs="楷体_GB2312"/>
          <w:b/>
          <w:kern w:val="0"/>
          <w:sz w:val="34"/>
          <w:szCs w:val="34"/>
        </w:rPr>
      </w:pPr>
      <w:r>
        <w:rPr>
          <w:rFonts w:hint="eastAsia" w:ascii="Times New Roman" w:hAnsi="Times New Roman" w:eastAsia="楷体_GB2312" w:cs="楷体_GB2312"/>
          <w:b/>
          <w:kern w:val="0"/>
          <w:sz w:val="34"/>
          <w:szCs w:val="34"/>
        </w:rPr>
        <w:t>4.国有资本经营预算收支执行情况</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经对县属国有企业及其下属独立法人子公司的财务进行核准，上述企业2020年未产生国有资本经营预算企业利润收入。</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b/>
          <w:kern w:val="0"/>
          <w:sz w:val="34"/>
          <w:szCs w:val="34"/>
        </w:rPr>
      </w:pPr>
      <w:r>
        <w:rPr>
          <w:rFonts w:hint="eastAsia" w:ascii="Times New Roman" w:hAnsi="Times New Roman" w:eastAsia="仿宋_GB2312" w:cs="仿宋_GB2312"/>
          <w:kern w:val="0"/>
          <w:sz w:val="34"/>
          <w:szCs w:val="34"/>
        </w:rPr>
        <w:t>按照《</w:t>
      </w:r>
      <w:r>
        <w:rPr>
          <w:rFonts w:hint="eastAsia" w:ascii="Times New Roman" w:hAnsi="Times New Roman" w:cs="仿宋_GB2312"/>
          <w:kern w:val="0"/>
          <w:sz w:val="34"/>
          <w:szCs w:val="34"/>
          <w:lang w:eastAsia="zh-CN"/>
        </w:rPr>
        <w:t>中华人民共和国预算法</w:t>
      </w:r>
      <w:r>
        <w:rPr>
          <w:rFonts w:hint="eastAsia" w:ascii="Times New Roman" w:hAnsi="Times New Roman" w:eastAsia="仿宋_GB2312" w:cs="仿宋_GB2312"/>
          <w:kern w:val="0"/>
          <w:sz w:val="34"/>
          <w:szCs w:val="34"/>
        </w:rPr>
        <w:t>》以及国有资本经营预算有关规定，根据“以收定支，突出重点”</w:t>
      </w:r>
      <w:r>
        <w:rPr>
          <w:rFonts w:hint="eastAsia" w:ascii="Times New Roman" w:hAnsi="Times New Roman" w:eastAsia="仿宋_GB2312" w:cs="仿宋_GB2312"/>
          <w:kern w:val="0"/>
          <w:sz w:val="34"/>
          <w:szCs w:val="34"/>
          <w:lang w:eastAsia="zh-CN"/>
        </w:rPr>
        <w:t>的</w:t>
      </w:r>
      <w:r>
        <w:rPr>
          <w:rFonts w:hint="eastAsia" w:ascii="Times New Roman" w:hAnsi="Times New Roman" w:eastAsia="仿宋_GB2312" w:cs="仿宋_GB2312"/>
          <w:kern w:val="0"/>
          <w:sz w:val="34"/>
          <w:szCs w:val="34"/>
        </w:rPr>
        <w:t>原则，因2020年未发生国有资本经营预算收入，与此相对应2020年未发生国有资本经营预算支出。</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仿宋_GB2312" w:cs="仿宋_GB2312"/>
          <w:b/>
          <w:kern w:val="0"/>
          <w:sz w:val="34"/>
          <w:szCs w:val="34"/>
        </w:rPr>
      </w:pPr>
      <w:r>
        <w:rPr>
          <w:rFonts w:hint="eastAsia" w:ascii="Times New Roman" w:hAnsi="Times New Roman" w:eastAsia="仿宋_GB2312" w:cs="仿宋_GB2312"/>
          <w:b/>
          <w:kern w:val="0"/>
          <w:sz w:val="34"/>
          <w:szCs w:val="34"/>
        </w:rPr>
        <w:t>5.地方政府性债务情况</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2020年到位政府</w:t>
      </w:r>
      <w:r>
        <w:rPr>
          <w:rFonts w:hint="eastAsia" w:ascii="Times New Roman" w:hAnsi="Times New Roman" w:eastAsia="仿宋_GB2312" w:cs="仿宋_GB2312"/>
          <w:kern w:val="0"/>
          <w:sz w:val="34"/>
          <w:szCs w:val="34"/>
          <w:lang w:eastAsia="zh-CN"/>
        </w:rPr>
        <w:t>债务</w:t>
      </w:r>
      <w:r>
        <w:rPr>
          <w:rFonts w:hint="eastAsia" w:ascii="Times New Roman" w:hAnsi="Times New Roman" w:eastAsia="仿宋_GB2312" w:cs="仿宋_GB2312"/>
          <w:kern w:val="0"/>
          <w:sz w:val="34"/>
          <w:szCs w:val="34"/>
        </w:rPr>
        <w:t>转贷资金9.52亿元，其中：再融资</w:t>
      </w:r>
      <w:r>
        <w:rPr>
          <w:rFonts w:hint="eastAsia" w:ascii="Times New Roman" w:hAnsi="Times New Roman" w:eastAsia="仿宋_GB2312" w:cs="仿宋_GB2312"/>
          <w:kern w:val="0"/>
          <w:sz w:val="34"/>
          <w:szCs w:val="34"/>
          <w:lang w:eastAsia="zh-CN"/>
        </w:rPr>
        <w:t>债务</w:t>
      </w:r>
      <w:r>
        <w:rPr>
          <w:rFonts w:hint="eastAsia" w:ascii="Times New Roman" w:hAnsi="Times New Roman" w:eastAsia="仿宋_GB2312" w:cs="仿宋_GB2312"/>
          <w:kern w:val="0"/>
          <w:sz w:val="34"/>
          <w:szCs w:val="34"/>
        </w:rPr>
        <w:t>0.53万元，新增</w:t>
      </w:r>
      <w:r>
        <w:rPr>
          <w:rFonts w:hint="eastAsia" w:ascii="Times New Roman" w:hAnsi="Times New Roman" w:eastAsia="仿宋_GB2312" w:cs="仿宋_GB2312"/>
          <w:kern w:val="0"/>
          <w:sz w:val="34"/>
          <w:szCs w:val="34"/>
          <w:lang w:eastAsia="zh-CN"/>
        </w:rPr>
        <w:t>债务</w:t>
      </w:r>
      <w:r>
        <w:rPr>
          <w:rFonts w:hint="eastAsia" w:ascii="Times New Roman" w:hAnsi="Times New Roman" w:eastAsia="仿宋_GB2312" w:cs="仿宋_GB2312"/>
          <w:kern w:val="0"/>
          <w:sz w:val="34"/>
          <w:szCs w:val="34"/>
        </w:rPr>
        <w:t>转贷资金8.99亿元（一般债务转贷资金2.02亿元，专项债务转贷资金6.97亿元）。2020年，省政府核定我县政府债务限额为24.99亿元，其中：一般债务限额11.79亿元，专项债务限额13.2亿元。截至2020年底，我县政府债务余额21.3亿元，其中：一般债务8.68亿元，专项债务12.62亿元，债务余额均在法定债务限额之内。</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楷体_GB2312" w:cs="楷体_GB2312"/>
          <w:b/>
          <w:bCs/>
          <w:kern w:val="0"/>
          <w:sz w:val="34"/>
          <w:szCs w:val="34"/>
        </w:rPr>
      </w:pPr>
      <w:r>
        <w:rPr>
          <w:rFonts w:hint="eastAsia" w:ascii="Times New Roman" w:hAnsi="Times New Roman" w:eastAsia="楷体_GB2312" w:cs="楷体_GB2312"/>
          <w:b/>
          <w:bCs/>
          <w:kern w:val="0"/>
          <w:sz w:val="34"/>
          <w:szCs w:val="34"/>
        </w:rPr>
        <w:t>（二）2020年财政主要工作和“十三五”发展回顾</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2020年，面对突如其来的新冠肺炎疫情和严峻的国内外形势，全县财税部门在县委的坚强领导下，稳中求进，大力实施更加积极有为的积极财政政策，统筹推进疫情防控和经济社会发展，财政运行总体平稳。</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ascii="Times New Roman" w:hAnsi="Times New Roman" w:cs="仿宋_GB2312"/>
          <w:b/>
          <w:bCs/>
          <w:color w:val="000000"/>
          <w:sz w:val="34"/>
          <w:szCs w:val="34"/>
          <w:shd w:val="clear" w:color="auto" w:fill="FFFFFF"/>
        </w:rPr>
      </w:pPr>
      <w:r>
        <w:rPr>
          <w:rFonts w:hint="eastAsia" w:ascii="Times New Roman" w:hAnsi="Times New Roman" w:eastAsia="楷体_GB2312" w:cs="楷体_GB2312"/>
          <w:b/>
          <w:bCs/>
          <w:color w:val="000000"/>
          <w:sz w:val="34"/>
          <w:szCs w:val="34"/>
          <w:shd w:val="clear" w:color="auto" w:fill="FFFFFF"/>
        </w:rPr>
        <w:t>——进一步强统筹，保平衡，财政收支稳定运行。</w:t>
      </w:r>
      <w:r>
        <w:rPr>
          <w:rFonts w:hint="eastAsia" w:ascii="Times New Roman" w:hAnsi="Times New Roman" w:eastAsia="楷体_GB2312" w:cs="楷体_GB2312"/>
          <w:b/>
          <w:bCs/>
          <w:kern w:val="0"/>
          <w:sz w:val="34"/>
          <w:szCs w:val="34"/>
        </w:rPr>
        <w:t>一是稳预期。</w:t>
      </w:r>
      <w:r>
        <w:rPr>
          <w:rFonts w:hint="eastAsia" w:ascii="Times New Roman" w:hAnsi="Times New Roman" w:eastAsia="仿宋_GB2312" w:cs="仿宋_GB2312"/>
          <w:kern w:val="0"/>
          <w:sz w:val="34"/>
          <w:szCs w:val="34"/>
        </w:rPr>
        <w:t>面对疫情影响全县税基减少，加上上年增值税翘尾减收效果持续释放等叠加不利因素影响，及时分析财源现状，努力挖潜增收，加大国有资源资产等收入征缴，全年税收收入降幅比一季度收</w:t>
      </w:r>
      <w:r>
        <w:rPr>
          <w:rFonts w:hint="eastAsia" w:ascii="Times New Roman" w:hAnsi="Times New Roman" w:eastAsia="仿宋_GB2312" w:cs="仿宋_GB2312"/>
          <w:bCs/>
          <w:sz w:val="34"/>
          <w:szCs w:val="34"/>
        </w:rPr>
        <w:t>窄了18.1个百分点，一般公共预算收入完成年计划目标的102%。</w:t>
      </w:r>
      <w:r>
        <w:rPr>
          <w:rFonts w:hint="eastAsia" w:ascii="Times New Roman" w:hAnsi="Times New Roman" w:eastAsia="仿宋_GB2312" w:cs="仿宋_GB2312"/>
          <w:b/>
          <w:sz w:val="34"/>
          <w:szCs w:val="34"/>
        </w:rPr>
        <w:t>二是盘存量。</w:t>
      </w:r>
      <w:r>
        <w:rPr>
          <w:rFonts w:hint="eastAsia" w:ascii="Times New Roman" w:hAnsi="Times New Roman" w:eastAsia="仿宋_GB2312" w:cs="仿宋_GB2312"/>
          <w:bCs/>
          <w:sz w:val="34"/>
          <w:szCs w:val="34"/>
        </w:rPr>
        <w:t>全面清理财政存量资金，对结转两年以上</w:t>
      </w:r>
      <w:r>
        <w:rPr>
          <w:rFonts w:hint="eastAsia" w:ascii="Times New Roman" w:hAnsi="Times New Roman" w:cs="仿宋_GB2312"/>
          <w:bCs/>
          <w:sz w:val="34"/>
          <w:szCs w:val="34"/>
          <w:lang w:eastAsia="zh-CN"/>
        </w:rPr>
        <w:t>的</w:t>
      </w:r>
      <w:r>
        <w:rPr>
          <w:rFonts w:hint="eastAsia" w:ascii="Times New Roman" w:hAnsi="Times New Roman" w:eastAsia="仿宋_GB2312" w:cs="仿宋_GB2312"/>
          <w:bCs/>
          <w:sz w:val="34"/>
          <w:szCs w:val="34"/>
        </w:rPr>
        <w:t>结余结转资金7840万元全部收回县财政，统筹用于疫情防控和“三保”支出。</w:t>
      </w:r>
      <w:r>
        <w:rPr>
          <w:rFonts w:hint="eastAsia" w:ascii="Times New Roman" w:hAnsi="Times New Roman" w:eastAsia="仿宋_GB2312" w:cs="仿宋_GB2312"/>
          <w:b/>
          <w:sz w:val="34"/>
          <w:szCs w:val="34"/>
        </w:rPr>
        <w:t>三是抢机遇。</w:t>
      </w:r>
      <w:r>
        <w:rPr>
          <w:rFonts w:hint="eastAsia" w:ascii="Times New Roman" w:hAnsi="Times New Roman" w:eastAsia="仿宋_GB2312" w:cs="仿宋_GB2312"/>
          <w:kern w:val="0"/>
          <w:sz w:val="34"/>
          <w:szCs w:val="34"/>
        </w:rPr>
        <w:t>紧抓</w:t>
      </w:r>
      <w:r>
        <w:rPr>
          <w:rFonts w:hint="eastAsia" w:ascii="Times New Roman" w:hAnsi="Times New Roman" w:eastAsia="仿宋_GB2312" w:cs="仿宋_GB2312"/>
          <w:bCs/>
          <w:sz w:val="34"/>
          <w:szCs w:val="34"/>
        </w:rPr>
        <w:t>国家应对疫情扩大有效投资的“窗口期”，全年争取到位资金29.1亿元，增长19.4%。</w:t>
      </w:r>
      <w:r>
        <w:rPr>
          <w:rFonts w:hint="eastAsia" w:ascii="Times New Roman" w:hAnsi="Times New Roman" w:eastAsia="仿宋_GB2312" w:cs="仿宋_GB2312"/>
          <w:b/>
          <w:sz w:val="34"/>
          <w:szCs w:val="34"/>
        </w:rPr>
        <w:t>四是压支出。</w:t>
      </w:r>
      <w:r>
        <w:rPr>
          <w:rFonts w:hint="eastAsia" w:ascii="Times New Roman" w:hAnsi="Times New Roman" w:eastAsia="仿宋_GB2312" w:cs="仿宋_GB2312"/>
          <w:bCs/>
          <w:sz w:val="34"/>
          <w:szCs w:val="34"/>
        </w:rPr>
        <w:t>全面落实过紧日子的各项举措，全年一般性支出、“三公”经费支出分别较上年压减15%、20%。有效</w:t>
      </w:r>
      <w:r>
        <w:rPr>
          <w:rFonts w:hint="eastAsia" w:ascii="Times New Roman" w:hAnsi="Times New Roman" w:cs="仿宋_GB2312"/>
          <w:bCs/>
          <w:sz w:val="34"/>
          <w:szCs w:val="34"/>
          <w:lang w:eastAsia="zh-CN"/>
        </w:rPr>
        <w:t>地</w:t>
      </w:r>
      <w:r>
        <w:rPr>
          <w:rFonts w:hint="eastAsia" w:ascii="Times New Roman" w:hAnsi="Times New Roman" w:eastAsia="仿宋_GB2312" w:cs="仿宋_GB2312"/>
          <w:bCs/>
          <w:sz w:val="34"/>
          <w:szCs w:val="34"/>
        </w:rPr>
        <w:t>对冲疫情带来的财力短收，实现了全年财政收支平衡。</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仿宋_GB2312" w:cs="仿宋_GB2312"/>
          <w:b/>
          <w:bCs/>
          <w:color w:val="000000"/>
          <w:sz w:val="34"/>
          <w:szCs w:val="34"/>
          <w:shd w:val="clear" w:color="auto" w:fill="FFFFFF"/>
        </w:rPr>
      </w:pPr>
      <w:r>
        <w:rPr>
          <w:rFonts w:hint="eastAsia" w:ascii="Times New Roman" w:hAnsi="Times New Roman" w:eastAsia="楷体_GB2312" w:cs="楷体_GB2312"/>
          <w:b/>
          <w:bCs/>
          <w:color w:val="000000"/>
          <w:sz w:val="34"/>
          <w:szCs w:val="34"/>
          <w:shd w:val="clear" w:color="auto" w:fill="FFFFFF"/>
        </w:rPr>
        <w:t>——进一步减税费，优结构，“六保”任务全面落实。一是稳主体。</w:t>
      </w:r>
      <w:r>
        <w:rPr>
          <w:rFonts w:hint="eastAsia" w:ascii="Times New Roman" w:hAnsi="Times New Roman" w:eastAsia="仿宋_GB2312" w:cs="仿宋_GB2312"/>
          <w:sz w:val="34"/>
          <w:szCs w:val="34"/>
        </w:rPr>
        <w:t>在继续执行去年出台的下调增值税税率和企业养老保险费率的基础上，全面落实支持疫情防控保供、复工复产税费政策，全年为市场主体减负1.24亿元；统筹安排资金303万元，全面落实有效应对疫情稳定经济增长30条政策措施扶持政策，助企纾困，对冲企业经营困难。</w:t>
      </w:r>
      <w:r>
        <w:rPr>
          <w:rFonts w:hint="eastAsia" w:ascii="Times New Roman" w:hAnsi="Times New Roman" w:eastAsia="仿宋_GB2312" w:cs="仿宋_GB2312"/>
          <w:b/>
          <w:bCs/>
          <w:sz w:val="34"/>
          <w:szCs w:val="34"/>
        </w:rPr>
        <w:t>二是激活力。</w:t>
      </w:r>
      <w:r>
        <w:rPr>
          <w:rFonts w:hint="eastAsia" w:ascii="Times New Roman" w:hAnsi="Times New Roman" w:eastAsia="仿宋_GB2312" w:cs="仿宋_GB2312"/>
          <w:sz w:val="34"/>
          <w:szCs w:val="34"/>
        </w:rPr>
        <w:t>持续推进“五个信贷通”工作，全年累计发放贷款5.55亿元，帮助167户企业降低融资成本；提供过桥资金7020万元，着力解决中小微企业筹资难、融资贵问题，努力激发市场活力。</w:t>
      </w:r>
      <w:r>
        <w:rPr>
          <w:rFonts w:hint="eastAsia" w:ascii="Times New Roman" w:hAnsi="Times New Roman" w:eastAsia="仿宋_GB2312" w:cs="仿宋_GB2312"/>
          <w:b/>
          <w:bCs/>
          <w:sz w:val="34"/>
          <w:szCs w:val="34"/>
        </w:rPr>
        <w:t>三是调结构。</w:t>
      </w:r>
      <w:r>
        <w:rPr>
          <w:rFonts w:hint="eastAsia" w:ascii="Times New Roman" w:hAnsi="Times New Roman" w:eastAsia="仿宋_GB2312" w:cs="仿宋_GB2312"/>
          <w:sz w:val="34"/>
          <w:szCs w:val="34"/>
        </w:rPr>
        <w:t>大力实施开放引领战略，全力主攻工业，安排工业园区建设资金1511万元，统筹推进园区路、水、电基础设施配套建设；筹措资金1.9亿元，全年建成标准厂房6.2万平方米；安排工业引导基金4500万元和中小企业发展资金7667万元，撬动华派、佳捷信等社会投资超128亿元；努力扩消费，安排旅游发展资金1795万元，支持全省旅发大会、全县第二届桃江旅游文化节等重大活动开展。</w:t>
      </w:r>
      <w:r>
        <w:rPr>
          <w:rFonts w:hint="eastAsia" w:ascii="Times New Roman" w:hAnsi="Times New Roman" w:eastAsia="仿宋_GB2312" w:cs="仿宋_GB2312"/>
          <w:b/>
          <w:bCs/>
          <w:sz w:val="34"/>
          <w:szCs w:val="34"/>
        </w:rPr>
        <w:t>四是强支撑。</w:t>
      </w:r>
      <w:r>
        <w:rPr>
          <w:rFonts w:hint="eastAsia" w:ascii="Times New Roman" w:hAnsi="Times New Roman" w:eastAsia="仿宋_GB2312" w:cs="仿宋_GB2312"/>
          <w:sz w:val="34"/>
          <w:szCs w:val="34"/>
        </w:rPr>
        <w:t>发放企业稳岗补贴237.7万元，惠及45家企业；发放就业补助资金311万元，支持劳动者就地就近就业创业；发放创业担保贷款1.41亿元，支持大学生创业引领计划和就业促进计划；发放早稻补贴资金665万元、农机购置补贴资金259.6万元，保障粮食安全。扎实做好“六稳”工作，全面落实“六保”任务。</w:t>
      </w:r>
    </w:p>
    <w:p>
      <w:pPr>
        <w:pStyle w:val="3"/>
        <w:keepNext w:val="0"/>
        <w:keepLines w:val="0"/>
        <w:pageBreakBefore w:val="0"/>
        <w:kinsoku/>
        <w:wordWrap/>
        <w:overflowPunct/>
        <w:topLinePunct w:val="0"/>
        <w:autoSpaceDE/>
        <w:autoSpaceDN/>
        <w:bidi w:val="0"/>
        <w:adjustRightInd/>
        <w:snapToGrid/>
        <w:spacing w:line="640" w:lineRule="exact"/>
        <w:ind w:firstLine="643"/>
        <w:textAlignment w:val="auto"/>
        <w:rPr>
          <w:rFonts w:hint="eastAsia" w:ascii="Times New Roman" w:hAnsi="Times New Roman" w:eastAsia="仿宋_GB2312" w:cs="仿宋_GB2312"/>
          <w:sz w:val="34"/>
          <w:szCs w:val="34"/>
        </w:rPr>
      </w:pPr>
      <w:r>
        <w:rPr>
          <w:rFonts w:hint="eastAsia" w:ascii="Times New Roman" w:hAnsi="Times New Roman" w:eastAsia="楷体_GB2312" w:cs="楷体_GB2312"/>
          <w:b/>
          <w:bCs/>
          <w:color w:val="000000"/>
          <w:sz w:val="34"/>
          <w:szCs w:val="34"/>
          <w:shd w:val="clear" w:color="auto" w:fill="FFFFFF"/>
        </w:rPr>
        <w:t>——进一步补短板，积后劲，重点支出保障有力。</w:t>
      </w:r>
      <w:r>
        <w:rPr>
          <w:rFonts w:hint="eastAsia" w:ascii="Times New Roman" w:hAnsi="Times New Roman" w:eastAsia="仿宋_GB2312" w:cs="仿宋_GB2312"/>
          <w:b/>
          <w:bCs/>
          <w:sz w:val="34"/>
          <w:szCs w:val="34"/>
          <w:lang w:val="zh-CN"/>
        </w:rPr>
        <w:t>一是巩基础。</w:t>
      </w:r>
      <w:r>
        <w:rPr>
          <w:rFonts w:hint="eastAsia" w:ascii="Times New Roman" w:hAnsi="Times New Roman" w:eastAsia="仿宋_GB2312" w:cs="仿宋_GB2312"/>
          <w:sz w:val="34"/>
          <w:szCs w:val="34"/>
          <w:lang w:val="zh-CN"/>
        </w:rPr>
        <w:t>支持全面打赢脱贫攻坚战，聚焦</w:t>
      </w:r>
      <w:r>
        <w:rPr>
          <w:rFonts w:hint="eastAsia" w:ascii="Times New Roman" w:hAnsi="Times New Roman" w:eastAsia="仿宋_GB2312" w:cs="仿宋_GB2312"/>
          <w:sz w:val="34"/>
          <w:szCs w:val="34"/>
        </w:rPr>
        <w:t>“两不愁三保障”，构建</w:t>
      </w:r>
      <w:r>
        <w:rPr>
          <w:rFonts w:hint="eastAsia" w:ascii="Times New Roman" w:hAnsi="Times New Roman" w:eastAsia="仿宋_GB2312" w:cs="仿宋_GB2312"/>
          <w:sz w:val="34"/>
          <w:szCs w:val="34"/>
          <w:lang w:val="zh-CN"/>
        </w:rPr>
        <w:t>财政扶贫资金稳定增长统筹机制，全年投入扶贫资金</w:t>
      </w:r>
      <w:r>
        <w:rPr>
          <w:rFonts w:hint="eastAsia" w:ascii="Times New Roman" w:hAnsi="Times New Roman" w:eastAsia="仿宋_GB2312" w:cs="仿宋_GB2312"/>
          <w:sz w:val="34"/>
          <w:szCs w:val="34"/>
        </w:rPr>
        <w:t>7343万元，补齐农村产业发展等基础短板，保障脱贫攻坚任务如期完成。</w:t>
      </w:r>
      <w:r>
        <w:rPr>
          <w:rFonts w:hint="eastAsia" w:ascii="Times New Roman" w:hAnsi="Times New Roman" w:eastAsia="仿宋_GB2312" w:cs="仿宋_GB2312"/>
          <w:b/>
          <w:bCs/>
          <w:sz w:val="34"/>
          <w:szCs w:val="34"/>
        </w:rPr>
        <w:t>二是扩投资。</w:t>
      </w:r>
      <w:r>
        <w:rPr>
          <w:rFonts w:hint="eastAsia" w:ascii="Times New Roman" w:hAnsi="Times New Roman" w:eastAsia="仿宋_GB2312" w:cs="仿宋_GB2312"/>
          <w:sz w:val="34"/>
          <w:szCs w:val="34"/>
        </w:rPr>
        <w:t>通过争取新增地方政府债券、争取上级资金、盘活国有资产资源等方式，努力增加政府资金有效供给；筹集六大攻坚战等项目资金17.1亿元，重点支持医疗救治体系、国家级攀岩训练基地、全域旅游交通服务中心、十里桃江景区基础设施配套、景区旅游公路建设、第二自来水厂、农村人居环境整治等一批促发展、夯基础的项目，为全县接续发展积蓄动能。</w:t>
      </w:r>
      <w:r>
        <w:rPr>
          <w:rFonts w:hint="eastAsia" w:ascii="Times New Roman" w:hAnsi="Times New Roman" w:eastAsia="仿宋_GB2312" w:cs="仿宋_GB2312"/>
          <w:b/>
          <w:bCs/>
          <w:sz w:val="34"/>
          <w:szCs w:val="34"/>
        </w:rPr>
        <w:t>三是建机制。</w:t>
      </w:r>
      <w:r>
        <w:rPr>
          <w:rFonts w:hint="eastAsia" w:ascii="Times New Roman" w:hAnsi="Times New Roman" w:eastAsia="仿宋_GB2312" w:cs="仿宋_GB2312"/>
          <w:sz w:val="34"/>
          <w:szCs w:val="34"/>
        </w:rPr>
        <w:t>按照“一竿子插到底”的原则，全面建立健全直达资金使用监管体制，安排特殊转移支付和抗疫特别国债等直达资金4.57亿元，共惠及企业374家，惠及4.2万人次，直接惠企业利民，对冲经济下行压力。</w:t>
      </w:r>
    </w:p>
    <w:p>
      <w:pPr>
        <w:pStyle w:val="3"/>
        <w:keepNext w:val="0"/>
        <w:keepLines w:val="0"/>
        <w:pageBreakBefore w:val="0"/>
        <w:kinsoku/>
        <w:wordWrap/>
        <w:overflowPunct/>
        <w:topLinePunct w:val="0"/>
        <w:autoSpaceDE/>
        <w:autoSpaceDN/>
        <w:bidi w:val="0"/>
        <w:adjustRightInd/>
        <w:snapToGrid/>
        <w:spacing w:line="620" w:lineRule="exact"/>
        <w:ind w:firstLine="643"/>
        <w:textAlignment w:val="auto"/>
        <w:rPr>
          <w:rFonts w:hint="eastAsia" w:ascii="Times New Roman" w:hAnsi="Times New Roman" w:eastAsia="仿宋_GB2312" w:cs="仿宋_GB2312"/>
          <w:sz w:val="34"/>
          <w:szCs w:val="34"/>
        </w:rPr>
      </w:pPr>
      <w:r>
        <w:rPr>
          <w:rFonts w:hint="eastAsia" w:ascii="Times New Roman" w:hAnsi="Times New Roman" w:eastAsia="楷体_GB2312" w:cs="楷体_GB2312"/>
          <w:b/>
          <w:bCs/>
          <w:color w:val="000000"/>
          <w:sz w:val="34"/>
          <w:szCs w:val="34"/>
          <w:shd w:val="clear" w:color="auto" w:fill="FFFFFF"/>
        </w:rPr>
        <w:t>——进一步保基本，强忧患，牢筑财政风险底线。</w:t>
      </w:r>
      <w:r>
        <w:rPr>
          <w:rFonts w:hint="eastAsia" w:ascii="Times New Roman" w:hAnsi="Times New Roman" w:eastAsia="楷体_GB2312" w:cs="楷体_GB2312"/>
          <w:b/>
          <w:bCs/>
          <w:sz w:val="34"/>
          <w:szCs w:val="34"/>
        </w:rPr>
        <w:t>一是强防控。</w:t>
      </w:r>
      <w:r>
        <w:rPr>
          <w:rFonts w:hint="eastAsia" w:ascii="Times New Roman" w:hAnsi="Times New Roman" w:eastAsia="仿宋_GB2312" w:cs="仿宋_GB2312"/>
          <w:sz w:val="34"/>
          <w:szCs w:val="34"/>
        </w:rPr>
        <w:t>坚决打好疫情防控阻击战，第一时间启动应急响应机制，开辟预算安排、资金拨付、政府采购等绿色通道，全年投入疫情防控资金4983万元，全力保障疫情防控物资采购、医疗救治能力建设需求。</w:t>
      </w:r>
      <w:r>
        <w:rPr>
          <w:rFonts w:hint="eastAsia" w:ascii="Times New Roman" w:hAnsi="Times New Roman" w:eastAsia="仿宋_GB2312" w:cs="仿宋_GB2312"/>
          <w:b/>
          <w:bCs/>
          <w:sz w:val="34"/>
          <w:szCs w:val="34"/>
        </w:rPr>
        <w:t>二是兜“三保”。</w:t>
      </w:r>
      <w:r>
        <w:rPr>
          <w:rFonts w:hint="eastAsia" w:ascii="Times New Roman" w:hAnsi="Times New Roman" w:eastAsia="仿宋_GB2312" w:cs="仿宋_GB2312"/>
          <w:sz w:val="34"/>
          <w:szCs w:val="34"/>
        </w:rPr>
        <w:t>建立“三保”应急动态监控机制，强化国库资金调拨，提前对未来1-3个月的“三保”特别是工资发放资金保障进行评估研判，坚持“三保”支出优先安排顺序，切实兜牢兜实了“三保”支出底线，全年民生支出达30亿元，占一般公共预算支出的77.3%，同比增长13%。</w:t>
      </w:r>
      <w:r>
        <w:rPr>
          <w:rFonts w:hint="eastAsia" w:ascii="Times New Roman" w:hAnsi="Times New Roman" w:eastAsia="仿宋_GB2312" w:cs="仿宋_GB2312"/>
          <w:b/>
          <w:bCs/>
          <w:sz w:val="34"/>
          <w:szCs w:val="34"/>
        </w:rPr>
        <w:t>三是控风险。</w:t>
      </w:r>
      <w:r>
        <w:rPr>
          <w:rFonts w:hint="eastAsia" w:ascii="Times New Roman" w:hAnsi="Times New Roman" w:eastAsia="仿宋_GB2312" w:cs="仿宋_GB2312"/>
          <w:sz w:val="34"/>
          <w:szCs w:val="34"/>
        </w:rPr>
        <w:t>坚持问题导向，按照遏增量、化存量的工作思路，积极盘活存量资产资源，多渠道筹集化债资金，全年完成化债任务目标数的104%，政府债务风险水平控制在合理的区间内。</w:t>
      </w:r>
    </w:p>
    <w:p>
      <w:pPr>
        <w:keepNext w:val="0"/>
        <w:keepLines w:val="0"/>
        <w:pageBreakBefore w:val="0"/>
        <w:widowControl/>
        <w:kinsoku/>
        <w:wordWrap/>
        <w:overflowPunct/>
        <w:topLinePunct w:val="0"/>
        <w:autoSpaceDE/>
        <w:autoSpaceDN/>
        <w:bidi w:val="0"/>
        <w:adjustRightInd/>
        <w:snapToGrid/>
        <w:spacing w:line="620" w:lineRule="exact"/>
        <w:ind w:firstLine="512" w:firstLineChars="150"/>
        <w:jc w:val="left"/>
        <w:textAlignment w:val="auto"/>
        <w:rPr>
          <w:rFonts w:hint="eastAsia" w:ascii="Times New Roman" w:hAnsi="Times New Roman" w:eastAsia="仿宋_GB2312" w:cs="仿宋_GB2312"/>
          <w:b/>
          <w:kern w:val="0"/>
          <w:sz w:val="34"/>
          <w:szCs w:val="34"/>
        </w:rPr>
      </w:pPr>
      <w:r>
        <w:rPr>
          <w:rFonts w:hint="eastAsia" w:ascii="Times New Roman" w:hAnsi="Times New Roman" w:eastAsia="楷体_GB2312" w:cs="楷体_GB2312"/>
          <w:b/>
          <w:bCs/>
          <w:color w:val="000000"/>
          <w:sz w:val="34"/>
          <w:szCs w:val="34"/>
          <w:shd w:val="clear" w:color="auto" w:fill="FFFFFF"/>
        </w:rPr>
        <w:t>——进一步提质效，优配置，资金效益稳步提高。</w:t>
      </w:r>
      <w:r>
        <w:rPr>
          <w:rFonts w:hint="eastAsia" w:ascii="Times New Roman" w:hAnsi="Times New Roman" w:eastAsia="仿宋_GB2312" w:cs="仿宋_GB2312"/>
          <w:b/>
          <w:bCs/>
          <w:sz w:val="34"/>
          <w:szCs w:val="34"/>
        </w:rPr>
        <w:t>一是推改革。</w:t>
      </w:r>
      <w:r>
        <w:rPr>
          <w:rFonts w:hint="eastAsia" w:ascii="Times New Roman" w:hAnsi="Times New Roman" w:eastAsia="仿宋_GB2312" w:cs="仿宋_GB2312"/>
          <w:sz w:val="34"/>
          <w:szCs w:val="34"/>
        </w:rPr>
        <w:t>大力推进零基预算改革，</w:t>
      </w:r>
      <w:r>
        <w:rPr>
          <w:rFonts w:hint="eastAsia" w:ascii="Times New Roman" w:hAnsi="Times New Roman" w:eastAsia="仿宋_GB2312" w:cs="仿宋_GB2312"/>
          <w:color w:val="000000"/>
          <w:sz w:val="34"/>
          <w:szCs w:val="34"/>
        </w:rPr>
        <w:t>以零为基点，结合部门年度发展目标合理界定部门经常性项目支出需要，启动预算绩效目标编制，改进预算控制方式，增强预算编制的科学性、合理性。</w:t>
      </w:r>
      <w:r>
        <w:rPr>
          <w:rFonts w:hint="eastAsia" w:ascii="Times New Roman" w:hAnsi="Times New Roman" w:eastAsia="仿宋_GB2312" w:cs="仿宋_GB2312"/>
          <w:b/>
          <w:bCs/>
          <w:color w:val="000000"/>
          <w:sz w:val="34"/>
          <w:szCs w:val="34"/>
        </w:rPr>
        <w:t>二是促转型。</w:t>
      </w:r>
      <w:r>
        <w:rPr>
          <w:rFonts w:hint="eastAsia" w:ascii="Times New Roman" w:hAnsi="Times New Roman" w:eastAsia="仿宋_GB2312" w:cs="仿宋_GB2312"/>
          <w:sz w:val="34"/>
          <w:szCs w:val="34"/>
        </w:rPr>
        <w:t>全面推进国有企业实体化运作，盘活有效国有资产，融合特许经营权、经营性资源，合理确定各县属公司职能和业务发展定位，壮大县属国有企业的承载能力。</w:t>
      </w:r>
      <w:r>
        <w:rPr>
          <w:rFonts w:hint="eastAsia" w:ascii="Times New Roman" w:hAnsi="Times New Roman" w:eastAsia="仿宋_GB2312" w:cs="仿宋_GB2312"/>
          <w:b/>
          <w:bCs/>
          <w:sz w:val="34"/>
          <w:szCs w:val="34"/>
        </w:rPr>
        <w:t>三是提绩效。</w:t>
      </w:r>
      <w:r>
        <w:rPr>
          <w:rFonts w:hint="eastAsia" w:ascii="Times New Roman" w:hAnsi="Times New Roman" w:eastAsia="仿宋_GB2312" w:cs="仿宋_GB2312"/>
          <w:sz w:val="34"/>
          <w:szCs w:val="34"/>
        </w:rPr>
        <w:t>引入第三方评审机构，推进绩效评价与项目考核的深度结合，强化绩效评价结果运用，做到“用钱必问效，无效必问责”；规范政府投资项目前期工作管理，建立政府投资项目变更及概算调整管理机制，全年审核基建资金25.69亿元，核减2.19亿元，核减率8.54%。</w:t>
      </w:r>
    </w:p>
    <w:p>
      <w:pPr>
        <w:pStyle w:val="3"/>
        <w:keepNext w:val="0"/>
        <w:keepLines w:val="0"/>
        <w:pageBreakBefore w:val="0"/>
        <w:kinsoku/>
        <w:wordWrap/>
        <w:overflowPunct/>
        <w:topLinePunct w:val="0"/>
        <w:autoSpaceDE/>
        <w:autoSpaceDN/>
        <w:bidi w:val="0"/>
        <w:adjustRightInd/>
        <w:snapToGrid/>
        <w:spacing w:line="640" w:lineRule="exact"/>
        <w:ind w:firstLine="64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2020年是“十三五”规划圆满收官之年。回顾过去的五年，我们全面贯彻县委决策部署，坚持发展第一要务，立足实际，开拓创新，不断探索财政工作新规律，谋求经济社会发展新举措，开创高质量跨越式发展新局面。</w:t>
      </w:r>
      <w:r>
        <w:rPr>
          <w:rFonts w:hint="eastAsia" w:ascii="Times New Roman" w:hAnsi="Times New Roman" w:eastAsia="仿宋_GB2312" w:cs="仿宋_GB2312"/>
          <w:b/>
          <w:bCs/>
          <w:sz w:val="34"/>
          <w:szCs w:val="34"/>
        </w:rPr>
        <w:t>一是财政实力显著增强</w:t>
      </w:r>
      <w:r>
        <w:rPr>
          <w:rFonts w:hint="eastAsia" w:ascii="Times New Roman" w:hAnsi="Times New Roman" w:eastAsia="仿宋_GB2312" w:cs="仿宋_GB2312"/>
          <w:sz w:val="34"/>
          <w:szCs w:val="34"/>
        </w:rPr>
        <w:t>。财政收入突破10亿元大关，达到10.44亿元，其中：一般公共预算收入增幅排位由全市第11名提升至第5位；财政支出达到38.8亿元，年均增长17.7%。考虑过去5年实施大规模减税降费因素，财政收支超额完成“十三五”规划目标。</w:t>
      </w:r>
      <w:r>
        <w:rPr>
          <w:rFonts w:hint="eastAsia" w:ascii="Times New Roman" w:hAnsi="Times New Roman" w:eastAsia="仿宋_GB2312" w:cs="仿宋_GB2312"/>
          <w:b/>
          <w:bCs/>
          <w:sz w:val="34"/>
          <w:szCs w:val="34"/>
        </w:rPr>
        <w:t>二是民生福祉不断提高。</w:t>
      </w:r>
      <w:r>
        <w:rPr>
          <w:rFonts w:hint="eastAsia" w:ascii="Times New Roman" w:hAnsi="Times New Roman" w:eastAsia="仿宋_GB2312" w:cs="仿宋_GB2312"/>
          <w:sz w:val="34"/>
          <w:szCs w:val="34"/>
        </w:rPr>
        <w:t>五年来，投入民生资金113.67亿元，是“十二五”时期的2.3倍。统筹整合扶贫资金7.61亿元，实现了8个省级贫困村全部退出，15365名贫困人口稳定脱贫；安排就业补助资金4916万元，增加促进就业创业政策供给；安排支出22.34亿元，促进了学前教育、义务教育均衡发展；基本公共服务人均财政补助标准从45元提高到74元，增长64.4%，卫生健康支出由1.59亿元增加至5.79亿元，年均增长33.2%；安排支出1.23亿元，保障困难群众生活需要，城市低保标准由2015年每人每月450元增加至2020年的705元，农村低保标准由2015年每人每月240元增加至2020年的470元；投入8.86亿元资金，建成棚户区改造住房3546套。</w:t>
      </w:r>
      <w:r>
        <w:rPr>
          <w:rFonts w:hint="eastAsia" w:ascii="Times New Roman" w:hAnsi="Times New Roman" w:eastAsia="仿宋_GB2312" w:cs="仿宋_GB2312"/>
          <w:b/>
          <w:bCs/>
          <w:sz w:val="34"/>
          <w:szCs w:val="34"/>
        </w:rPr>
        <w:t>三是承接发展能力不断提升。</w:t>
      </w:r>
      <w:r>
        <w:rPr>
          <w:rFonts w:hint="eastAsia" w:ascii="Times New Roman" w:hAnsi="Times New Roman" w:eastAsia="仿宋_GB2312" w:cs="仿宋_GB2312"/>
          <w:sz w:val="34"/>
          <w:szCs w:val="34"/>
        </w:rPr>
        <w:t>五年实施重点项目518个，完成投资303.7亿元，分别是“十二五”期间的2.7倍和5.57倍；报批建设用地6224亩，超过去10年总量；投入资金13.68亿元，建成标准厂房62万平方米；引进项目93个，撬动社会资本598.61亿元，以旅游、电子信息产业为龙头的产业格局初具规模。</w:t>
      </w:r>
      <w:r>
        <w:rPr>
          <w:rFonts w:hint="eastAsia" w:ascii="Times New Roman" w:hAnsi="Times New Roman" w:eastAsia="仿宋_GB2312" w:cs="仿宋_GB2312"/>
          <w:b/>
          <w:bCs/>
          <w:sz w:val="34"/>
          <w:szCs w:val="34"/>
        </w:rPr>
        <w:t>四是财政改革纵深推进。</w:t>
      </w:r>
      <w:r>
        <w:rPr>
          <w:rFonts w:hint="eastAsia" w:ascii="Times New Roman" w:hAnsi="Times New Roman" w:eastAsia="仿宋_GB2312" w:cs="仿宋_GB2312"/>
          <w:sz w:val="34"/>
          <w:szCs w:val="34"/>
        </w:rPr>
        <w:t>全口径四本预算全部纳入人大审议范围，预决算实现全面公开，零基预算顺利开展，预算绩效管理有序推进；政府举债融资机制进一步规范，建立健全了债务监管、应急防控体系。全面推进国库集中支付改革，集中财力办大事，实现了支付与电子数据一体化有效对接。</w:t>
      </w:r>
    </w:p>
    <w:p>
      <w:pPr>
        <w:pStyle w:val="3"/>
        <w:keepNext w:val="0"/>
        <w:keepLines w:val="0"/>
        <w:pageBreakBefore w:val="0"/>
        <w:kinsoku/>
        <w:wordWrap/>
        <w:overflowPunct/>
        <w:topLinePunct w:val="0"/>
        <w:autoSpaceDE/>
        <w:autoSpaceDN/>
        <w:bidi w:val="0"/>
        <w:adjustRightInd/>
        <w:snapToGrid/>
        <w:spacing w:line="640" w:lineRule="exact"/>
        <w:ind w:firstLine="643"/>
        <w:textAlignment w:val="auto"/>
        <w:rPr>
          <w:rFonts w:hint="eastAsia" w:ascii="Times New Roman" w:hAnsi="Times New Roman" w:eastAsia="楷体_GB2312" w:cs="楷体_GB2312"/>
          <w:b/>
          <w:bCs/>
          <w:sz w:val="34"/>
          <w:szCs w:val="34"/>
        </w:rPr>
      </w:pPr>
      <w:r>
        <w:rPr>
          <w:rFonts w:hint="eastAsia" w:ascii="Times New Roman" w:hAnsi="Times New Roman" w:eastAsia="楷体_GB2312" w:cs="楷体_GB2312"/>
          <w:b/>
          <w:bCs/>
          <w:sz w:val="34"/>
          <w:szCs w:val="34"/>
        </w:rPr>
        <w:t>（三）需要说明的事项</w:t>
      </w:r>
    </w:p>
    <w:p>
      <w:pPr>
        <w:pStyle w:val="3"/>
        <w:keepNext w:val="0"/>
        <w:keepLines w:val="0"/>
        <w:pageBreakBefore w:val="0"/>
        <w:kinsoku/>
        <w:wordWrap/>
        <w:overflowPunct/>
        <w:topLinePunct w:val="0"/>
        <w:autoSpaceDE/>
        <w:autoSpaceDN/>
        <w:bidi w:val="0"/>
        <w:adjustRightInd/>
        <w:snapToGrid/>
        <w:spacing w:line="640" w:lineRule="exact"/>
        <w:ind w:firstLine="64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1.2020年1-6月，受突如其来的新冠肺炎疫情影响，全县税基减少，加上我县财源以资源型、出口和转出口型企业为主导，疫情期间财政收入增长困难。本着实事求是的原则，对财政收入预期目标作了调整，并报经县十八届人大常委会</w:t>
      </w:r>
      <w:r>
        <w:rPr>
          <w:rFonts w:hint="eastAsia" w:ascii="Times New Roman" w:hAnsi="Times New Roman" w:cs="仿宋_GB2312"/>
          <w:sz w:val="34"/>
          <w:szCs w:val="34"/>
          <w:lang w:eastAsia="zh-CN"/>
        </w:rPr>
        <w:t>第</w:t>
      </w:r>
      <w:r>
        <w:rPr>
          <w:rFonts w:hint="eastAsia" w:ascii="Times New Roman" w:hAnsi="Times New Roman" w:eastAsia="仿宋_GB2312" w:cs="仿宋_GB2312"/>
          <w:sz w:val="34"/>
          <w:szCs w:val="34"/>
        </w:rPr>
        <w:t>三十五次会议审议通过。</w:t>
      </w:r>
    </w:p>
    <w:p>
      <w:pPr>
        <w:pStyle w:val="3"/>
        <w:keepNext w:val="0"/>
        <w:keepLines w:val="0"/>
        <w:pageBreakBefore w:val="0"/>
        <w:kinsoku/>
        <w:wordWrap/>
        <w:overflowPunct/>
        <w:topLinePunct w:val="0"/>
        <w:autoSpaceDE/>
        <w:autoSpaceDN/>
        <w:bidi w:val="0"/>
        <w:adjustRightInd/>
        <w:snapToGrid/>
        <w:spacing w:line="640" w:lineRule="exact"/>
        <w:ind w:firstLine="64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2.根据《关于印发调整省与市县收入划分改革推进方案的通知》（赣府厅﹝2020﹞91号）文件精神，从2021年1月1日起，增值税、所得税、环境保护税市县分成比例由45%、32%、80%调整为35%、28%、70%。</w:t>
      </w:r>
    </w:p>
    <w:p>
      <w:pPr>
        <w:pStyle w:val="3"/>
        <w:keepNext w:val="0"/>
        <w:keepLines w:val="0"/>
        <w:pageBreakBefore w:val="0"/>
        <w:kinsoku/>
        <w:wordWrap/>
        <w:overflowPunct/>
        <w:topLinePunct w:val="0"/>
        <w:autoSpaceDE/>
        <w:autoSpaceDN/>
        <w:bidi w:val="0"/>
        <w:adjustRightInd/>
        <w:snapToGrid/>
        <w:spacing w:line="640" w:lineRule="exact"/>
        <w:ind w:firstLine="64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在看到成绩的同时，我们也清醒地认识到财政运行中还存在一些矛盾和问题：新冠肺炎疫情变化导致外部经济环境存在诸多不确定性，税收增收基础不牢固的因素仍然存在。</w:t>
      </w:r>
      <w:r>
        <w:rPr>
          <w:rFonts w:hint="eastAsia" w:ascii="Times New Roman" w:hAnsi="Times New Roman" w:eastAsia="仿宋_GB2312" w:cs="仿宋_GB2312"/>
          <w:sz w:val="34"/>
          <w:szCs w:val="34"/>
          <w:lang w:val="zh-CN"/>
        </w:rPr>
        <w:t>面对这些问题，我们一定高度重视，采取积极措施，切实加以解决。</w:t>
      </w:r>
    </w:p>
    <w:p>
      <w:pPr>
        <w:pStyle w:val="10"/>
        <w:keepNext w:val="0"/>
        <w:keepLines w:val="0"/>
        <w:pageBreakBefore w:val="0"/>
        <w:kinsoku/>
        <w:wordWrap/>
        <w:overflowPunct/>
        <w:topLinePunct w:val="0"/>
        <w:autoSpaceDE/>
        <w:autoSpaceDN/>
        <w:bidi w:val="0"/>
        <w:adjustRightInd/>
        <w:snapToGrid/>
        <w:spacing w:line="640" w:lineRule="exact"/>
        <w:textAlignment w:val="auto"/>
        <w:rPr>
          <w:rFonts w:hint="eastAsia" w:ascii="Times New Roman" w:hAnsi="Times New Roman" w:eastAsia="黑体" w:cs="黑体"/>
          <w:sz w:val="34"/>
          <w:szCs w:val="34"/>
        </w:rPr>
      </w:pPr>
      <w:r>
        <w:rPr>
          <w:rFonts w:hint="eastAsia" w:ascii="Times New Roman" w:hAnsi="Times New Roman" w:eastAsia="黑体" w:cs="黑体"/>
          <w:sz w:val="34"/>
          <w:szCs w:val="34"/>
        </w:rPr>
        <w:t>二、2021年财政预算（草案）</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ascii="Times New Roman" w:hAnsi="Times New Roman" w:eastAsia="黑体" w:cs="Times New Roman"/>
          <w:sz w:val="34"/>
          <w:szCs w:val="34"/>
        </w:rPr>
      </w:pPr>
      <w:r>
        <w:rPr>
          <w:rFonts w:hint="eastAsia" w:ascii="Times New Roman" w:hAnsi="Times New Roman" w:eastAsia="仿宋_GB2312" w:cs="仿宋_GB2312"/>
          <w:kern w:val="0"/>
          <w:sz w:val="34"/>
          <w:szCs w:val="34"/>
        </w:rPr>
        <w:t>2021年我县财政工作的总体思路是：</w:t>
      </w:r>
      <w:r>
        <w:rPr>
          <w:rFonts w:hint="eastAsia" w:ascii="Times New Roman" w:hAnsi="Times New Roman" w:eastAsia="黑体" w:cs="黑体"/>
          <w:b w:val="0"/>
          <w:bCs w:val="0"/>
          <w:sz w:val="34"/>
          <w:szCs w:val="34"/>
        </w:rPr>
        <w:t>以习近平新时代中国特色社会主义思想为指导，全面贯彻党的十九大和十九届二中、三中、四中、五中全会精神，以及中央经济工作会议、省委十四届十二次全会、市委五届十次全会和县委十三届十一次全会精神，坚持稳中求进工作总基调，</w:t>
      </w:r>
      <w:r>
        <w:rPr>
          <w:rFonts w:hint="eastAsia" w:ascii="Times New Roman" w:hAnsi="Times New Roman" w:eastAsia="黑体" w:cs="黑体"/>
          <w:b w:val="0"/>
          <w:bCs w:val="0"/>
          <w:sz w:val="34"/>
          <w:szCs w:val="34"/>
          <w:lang w:eastAsia="zh-CN"/>
        </w:rPr>
        <w:t>立足</w:t>
      </w:r>
      <w:r>
        <w:rPr>
          <w:rFonts w:hint="eastAsia" w:ascii="Times New Roman" w:hAnsi="Times New Roman" w:eastAsia="黑体" w:cs="黑体"/>
          <w:b w:val="0"/>
          <w:bCs w:val="0"/>
          <w:sz w:val="34"/>
          <w:szCs w:val="34"/>
        </w:rPr>
        <w:t>新发展阶段，贯彻新发展理念，融入新发展格局，以推动高质量发展为主题，巩固拓展疫情防控和经济社会发展成果，继续做好“六稳”工作、落实“六保”任务，积极的财政政策提质增效，不断优化财政支出结构，强化预算约束和绩效管理，全力支持</w:t>
      </w:r>
      <w:r>
        <w:rPr>
          <w:rFonts w:hint="eastAsia" w:ascii="Times New Roman" w:hAnsi="Times New Roman" w:eastAsia="黑体" w:cs="黑体"/>
          <w:b w:val="0"/>
          <w:bCs w:val="0"/>
          <w:color w:val="000000"/>
          <w:sz w:val="34"/>
          <w:szCs w:val="34"/>
        </w:rPr>
        <w:t>高水平建设服务大湾区重要旅游目的地、承接大湾区电子信息产业转移基地、面向大湾区优质农副产品直供基地，加快打造对接服务粤港澳大湾区的核心门户、前沿高地，积极争当对接融入粤港澳大湾区的突击先锋、前哨尖兵</w:t>
      </w:r>
      <w:r>
        <w:rPr>
          <w:rFonts w:hint="eastAsia" w:ascii="Times New Roman" w:hAnsi="Times New Roman" w:eastAsia="黑体" w:cs="黑体"/>
          <w:b w:val="0"/>
          <w:bCs w:val="0"/>
          <w:sz w:val="34"/>
          <w:szCs w:val="34"/>
        </w:rPr>
        <w:t>，为“十四五”开好局提供坚实的财力保障，以优异成绩庆祝中国共产党成立100周年。</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楷体_GB2312" w:cs="楷体_GB2312"/>
          <w:b/>
          <w:kern w:val="0"/>
          <w:sz w:val="34"/>
          <w:szCs w:val="34"/>
        </w:rPr>
      </w:pPr>
      <w:r>
        <w:rPr>
          <w:rFonts w:hint="eastAsia" w:ascii="Times New Roman" w:hAnsi="Times New Roman" w:eastAsia="楷体_GB2312" w:cs="楷体_GB2312"/>
          <w:b/>
          <w:kern w:val="0"/>
          <w:sz w:val="34"/>
          <w:szCs w:val="34"/>
        </w:rPr>
        <w:t>(</w:t>
      </w:r>
      <w:r>
        <w:rPr>
          <w:rFonts w:hint="eastAsia" w:ascii="Times New Roman" w:hAnsi="Times New Roman" w:eastAsia="楷体_GB2312" w:cs="楷体_GB2312"/>
          <w:b/>
          <w:bCs/>
          <w:kern w:val="0"/>
          <w:sz w:val="34"/>
          <w:szCs w:val="34"/>
        </w:rPr>
        <w:t>一)一般公共财政预算收支计划</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财政总收入预算安排11.17亿元，比上年增长7%，其中：税务系统8.82亿元，比上年增长19.9%；财政系统2.35亿元，比上年下降23.8%。税收占比为79%，比上年增加8.6个百分点。</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公共财政预算收入安排7.</w:t>
      </w:r>
      <w:r>
        <w:rPr>
          <w:rFonts w:hint="eastAsia" w:ascii="Times New Roman" w:hAnsi="Times New Roman" w:cs="仿宋_GB2312"/>
          <w:kern w:val="0"/>
          <w:sz w:val="34"/>
          <w:szCs w:val="34"/>
          <w:lang w:val="en-US" w:eastAsia="zh-CN"/>
        </w:rPr>
        <w:t>16</w:t>
      </w:r>
      <w:r>
        <w:rPr>
          <w:rFonts w:hint="eastAsia" w:ascii="Times New Roman" w:hAnsi="Times New Roman" w:eastAsia="仿宋_GB2312" w:cs="仿宋_GB2312"/>
          <w:kern w:val="0"/>
          <w:sz w:val="34"/>
          <w:szCs w:val="34"/>
        </w:rPr>
        <w:t>亿元</w:t>
      </w:r>
      <w:r>
        <w:rPr>
          <w:rFonts w:hint="eastAsia" w:ascii="Times New Roman" w:hAnsi="Times New Roman" w:eastAsia="仿宋_GB2312" w:cs="仿宋_GB2312"/>
          <w:sz w:val="34"/>
          <w:szCs w:val="34"/>
        </w:rPr>
        <w:t>，同口径比上年增长6%。其中：</w:t>
      </w:r>
      <w:r>
        <w:rPr>
          <w:rFonts w:hint="eastAsia" w:ascii="Times New Roman" w:hAnsi="Times New Roman" w:eastAsia="仿宋_GB2312" w:cs="仿宋_GB2312"/>
          <w:kern w:val="0"/>
          <w:sz w:val="34"/>
          <w:szCs w:val="34"/>
        </w:rPr>
        <w:t>工商税收</w:t>
      </w:r>
      <w:r>
        <w:rPr>
          <w:rFonts w:hint="eastAsia" w:ascii="Times New Roman" w:hAnsi="Times New Roman" w:cs="仿宋_GB2312"/>
          <w:kern w:val="0"/>
          <w:sz w:val="34"/>
          <w:szCs w:val="34"/>
          <w:lang w:val="en-US" w:eastAsia="zh-CN"/>
        </w:rPr>
        <w:t>3.55</w:t>
      </w:r>
      <w:r>
        <w:rPr>
          <w:rFonts w:hint="eastAsia" w:ascii="Times New Roman" w:hAnsi="Times New Roman" w:eastAsia="仿宋_GB2312" w:cs="仿宋_GB2312"/>
          <w:kern w:val="0"/>
          <w:sz w:val="34"/>
          <w:szCs w:val="34"/>
        </w:rPr>
        <w:t>亿元；契税8230万元；耕地占用税1218万元；企业所得税</w:t>
      </w:r>
      <w:r>
        <w:rPr>
          <w:rFonts w:hint="eastAsia" w:ascii="Times New Roman" w:hAnsi="Times New Roman" w:cs="仿宋_GB2312"/>
          <w:kern w:val="0"/>
          <w:sz w:val="34"/>
          <w:szCs w:val="34"/>
          <w:lang w:val="en-US" w:eastAsia="zh-CN"/>
        </w:rPr>
        <w:t>3098</w:t>
      </w:r>
      <w:r>
        <w:rPr>
          <w:rFonts w:hint="eastAsia" w:ascii="Times New Roman" w:hAnsi="Times New Roman" w:eastAsia="仿宋_GB2312" w:cs="仿宋_GB2312"/>
          <w:kern w:val="0"/>
          <w:sz w:val="34"/>
          <w:szCs w:val="34"/>
        </w:rPr>
        <w:t>万元；国有资产有偿使用收入1.48亿元；专项收入1805万元；其他收入6880万元。</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highlight w:val="yellow"/>
        </w:rPr>
      </w:pPr>
      <w:r>
        <w:rPr>
          <w:rFonts w:hint="eastAsia" w:ascii="Times New Roman" w:hAnsi="Times New Roman" w:eastAsia="仿宋_GB2312" w:cs="仿宋_GB2312"/>
          <w:kern w:val="0"/>
          <w:sz w:val="34"/>
          <w:szCs w:val="34"/>
        </w:rPr>
        <w:t>上述公共财政预算收入，加上预计税收返还、转移支付补助和其他各项补助，减去上解支出后，预算财力为17.13亿元。2021年一般预算支出安排17.13亿元，预算收支平衡。</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主要财政支出项目初步安排如下：</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1.一般公共服务支出2.23亿元，比上年预算数增长3.8%；</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2.公共安全支出9354万元，比上年预算数增长0.7%；</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3.教育支出3.07亿元，比上年预算数增长5.1%；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4.科学技术支出3026万元，比上年预算数增长2.1%；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5.文化旅游体育与传媒支出2112万元，比上年预算数增长2.5%；</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6.社会保障和就业支出2.31亿元，比上年预算数下降20.2%（主要是企业职工基本养老保险基金实行省级统收统支）；</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7.医疗卫生支出2.14亿元，比上年预算数增长4.8%；</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8.节能环保支出1517万元，比上年预算数增长31.8%；</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9.城乡社区事务支出3704万元，比上年预算数增长1.5%；</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10.农林水事务支出2.38亿元，比上年预算数增长27.3%；</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11.交通运输支出4951万元,比上年预算数增长44.2%;</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12.资源勘探电力信息等事务支出1453万元，比上年预算数增长3%；</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13.商业服务业等事务支出86万元，比上年预算数增长4.9%；</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14.金融监管等事务支出82万元，比上年预算数增长3%；</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15.自然资源海洋气象等支出810万元，比上年预算数增长9%；</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16.住房保障支出615万元，比上年预算数下降1%；</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17.粮油物资储备事务支出231万元，比上年预算数增长7.6%；</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18.灾害防治及应急管理支出1722万元，比上年预算数增长14.5%；</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19.预备费1000万元，与上年预算数持平；</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20.其他支出1.94亿元，比上年预算数增加1.3%。</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ascii="Times New Roman" w:hAnsi="Times New Roman" w:eastAsia="楷体_GB2312" w:cs="楷体_GB2312"/>
          <w:b/>
          <w:bCs/>
          <w:kern w:val="0"/>
          <w:sz w:val="34"/>
          <w:szCs w:val="34"/>
        </w:rPr>
      </w:pPr>
      <w:r>
        <w:rPr>
          <w:rFonts w:hint="eastAsia" w:ascii="Times New Roman" w:hAnsi="Times New Roman" w:eastAsia="楷体_GB2312" w:cs="楷体_GB2312"/>
          <w:b/>
          <w:kern w:val="0"/>
          <w:sz w:val="34"/>
          <w:szCs w:val="34"/>
        </w:rPr>
        <w:t>(</w:t>
      </w:r>
      <w:r>
        <w:rPr>
          <w:rFonts w:hint="eastAsia" w:ascii="Times New Roman" w:hAnsi="Times New Roman" w:eastAsia="楷体_GB2312" w:cs="楷体_GB2312"/>
          <w:b/>
          <w:bCs/>
          <w:kern w:val="0"/>
          <w:sz w:val="34"/>
          <w:szCs w:val="34"/>
        </w:rPr>
        <w:t>二)基金预算收支计划</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基金预算收入安排9.53亿元，比上年预算数增长3.6%。其中：国有土地收益基金收入4150万元，农业开发资金收入355万元，国有土地使用权收入8.94亿元,彩票公益金280万元，城市基础设施配套费收入795万元，污水处理费收入350万元。</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基金预算收入加上上年结余1.32亿元和补助收入1466万元，基金预算财力为11亿元。2021年基金预算支出安排为11亿元，预算收支平衡。</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主要基金预算支出安排如下：</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1.文化旅游体育与传媒支出104万元，比上年预算数增长14.3%；</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2.社会保障和就业支出709万元，比上年预算数增长93.2%；</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3.城乡社区支出9.38亿元，比上年预算数增长1.7%；</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4.农林水支出11万元，比上年预算数下降21.4%；</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5.彩票公益金支出1419万元，比上年预算数增长21.7%；</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lang w:val="en-US" w:eastAsia="zh-CN"/>
        </w:rPr>
        <w:t>6</w:t>
      </w:r>
      <w:r>
        <w:rPr>
          <w:rFonts w:hint="eastAsia" w:ascii="Times New Roman" w:hAnsi="Times New Roman" w:eastAsia="仿宋_GB2312" w:cs="仿宋_GB2312"/>
          <w:bCs/>
          <w:kern w:val="0"/>
          <w:sz w:val="34"/>
          <w:szCs w:val="34"/>
        </w:rPr>
        <w:t>.抗疫特别国债安排的支出8995万元。</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eastAsia" w:ascii="Times New Roman" w:hAnsi="Times New Roman" w:eastAsia="仿宋_GB2312" w:cs="仿宋_GB2312"/>
          <w:b/>
          <w:bCs/>
          <w:kern w:val="0"/>
          <w:sz w:val="34"/>
          <w:szCs w:val="34"/>
        </w:rPr>
      </w:pPr>
      <w:r>
        <w:rPr>
          <w:rFonts w:hint="eastAsia" w:ascii="Times New Roman" w:hAnsi="Times New Roman" w:eastAsia="仿宋_GB2312" w:cs="仿宋_GB2312"/>
          <w:b/>
          <w:kern w:val="0"/>
          <w:sz w:val="34"/>
          <w:szCs w:val="34"/>
        </w:rPr>
        <w:t>(</w:t>
      </w:r>
      <w:r>
        <w:rPr>
          <w:rFonts w:hint="eastAsia" w:ascii="Times New Roman" w:hAnsi="Times New Roman" w:eastAsia="仿宋_GB2312" w:cs="仿宋_GB2312"/>
          <w:b/>
          <w:bCs/>
          <w:kern w:val="0"/>
          <w:sz w:val="34"/>
          <w:szCs w:val="34"/>
        </w:rPr>
        <w:t>三)社</w:t>
      </w:r>
      <w:r>
        <w:rPr>
          <w:rFonts w:hint="eastAsia" w:ascii="Times New Roman" w:hAnsi="Times New Roman" w:eastAsia="仿宋_GB2312" w:cs="仿宋_GB2312"/>
          <w:b/>
          <w:bCs/>
          <w:kern w:val="0"/>
          <w:sz w:val="34"/>
          <w:szCs w:val="34"/>
          <w:lang w:eastAsia="zh-CN"/>
        </w:rPr>
        <w:t>会保险</w:t>
      </w:r>
      <w:r>
        <w:rPr>
          <w:rFonts w:hint="eastAsia" w:ascii="Times New Roman" w:hAnsi="Times New Roman" w:eastAsia="仿宋_GB2312" w:cs="仿宋_GB2312"/>
          <w:b/>
          <w:bCs/>
          <w:kern w:val="0"/>
          <w:sz w:val="34"/>
          <w:szCs w:val="34"/>
        </w:rPr>
        <w:t>基金预算收支计划</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社</w:t>
      </w:r>
      <w:r>
        <w:rPr>
          <w:rFonts w:hint="eastAsia" w:ascii="Times New Roman" w:hAnsi="Times New Roman" w:eastAsia="仿宋_GB2312" w:cs="仿宋_GB2312"/>
          <w:bCs/>
          <w:kern w:val="0"/>
          <w:sz w:val="34"/>
          <w:szCs w:val="34"/>
          <w:lang w:eastAsia="zh-CN"/>
        </w:rPr>
        <w:t>会</w:t>
      </w:r>
      <w:r>
        <w:rPr>
          <w:rFonts w:hint="eastAsia" w:ascii="Times New Roman" w:hAnsi="Times New Roman" w:eastAsia="仿宋_GB2312" w:cs="仿宋_GB2312"/>
          <w:bCs/>
          <w:kern w:val="0"/>
          <w:sz w:val="34"/>
          <w:szCs w:val="34"/>
        </w:rPr>
        <w:t>保</w:t>
      </w:r>
      <w:r>
        <w:rPr>
          <w:rFonts w:hint="eastAsia" w:ascii="Times New Roman" w:hAnsi="Times New Roman" w:eastAsia="仿宋_GB2312" w:cs="仿宋_GB2312"/>
          <w:bCs/>
          <w:kern w:val="0"/>
          <w:sz w:val="34"/>
          <w:szCs w:val="34"/>
          <w:lang w:eastAsia="zh-CN"/>
        </w:rPr>
        <w:t>险</w:t>
      </w:r>
      <w:r>
        <w:rPr>
          <w:rFonts w:hint="eastAsia" w:ascii="Times New Roman" w:hAnsi="Times New Roman" w:eastAsia="仿宋_GB2312" w:cs="仿宋_GB2312"/>
          <w:bCs/>
          <w:kern w:val="0"/>
          <w:sz w:val="34"/>
          <w:szCs w:val="34"/>
        </w:rPr>
        <w:t>基金预算收入安排</w:t>
      </w:r>
      <w:r>
        <w:rPr>
          <w:rFonts w:hint="eastAsia" w:ascii="Times New Roman" w:hAnsi="Times New Roman" w:cs="仿宋_GB2312"/>
          <w:bCs/>
          <w:kern w:val="0"/>
          <w:sz w:val="34"/>
          <w:szCs w:val="34"/>
          <w:lang w:val="en-US" w:eastAsia="zh-CN"/>
        </w:rPr>
        <w:t>1.94</w:t>
      </w:r>
      <w:r>
        <w:rPr>
          <w:rFonts w:hint="eastAsia" w:ascii="Times New Roman" w:hAnsi="Times New Roman" w:eastAsia="仿宋_GB2312" w:cs="仿宋_GB2312"/>
          <w:bCs/>
          <w:kern w:val="0"/>
          <w:sz w:val="34"/>
          <w:szCs w:val="34"/>
        </w:rPr>
        <w:t>亿元，比上年预算数增长</w:t>
      </w:r>
      <w:r>
        <w:rPr>
          <w:rFonts w:hint="eastAsia" w:ascii="Times New Roman" w:hAnsi="Times New Roman" w:cs="仿宋_GB2312"/>
          <w:bCs/>
          <w:kern w:val="0"/>
          <w:sz w:val="34"/>
          <w:szCs w:val="34"/>
          <w:lang w:val="en-US" w:eastAsia="zh-CN"/>
        </w:rPr>
        <w:t>13.8</w:t>
      </w:r>
      <w:r>
        <w:rPr>
          <w:rFonts w:hint="eastAsia" w:ascii="Times New Roman" w:hAnsi="Times New Roman" w:eastAsia="仿宋_GB2312" w:cs="仿宋_GB2312"/>
          <w:bCs/>
          <w:kern w:val="0"/>
          <w:sz w:val="34"/>
          <w:szCs w:val="34"/>
        </w:rPr>
        <w:t>%。其中：城乡居民基本养老保险基金收入5785万元，机关事业单位基本养老保险基金收入1.</w:t>
      </w:r>
      <w:r>
        <w:rPr>
          <w:rFonts w:hint="eastAsia" w:ascii="Times New Roman" w:hAnsi="Times New Roman" w:cs="仿宋_GB2312"/>
          <w:bCs/>
          <w:kern w:val="0"/>
          <w:sz w:val="34"/>
          <w:szCs w:val="34"/>
          <w:lang w:val="en-US" w:eastAsia="zh-CN"/>
        </w:rPr>
        <w:t>33</w:t>
      </w:r>
      <w:r>
        <w:rPr>
          <w:rFonts w:hint="eastAsia" w:ascii="Times New Roman" w:hAnsi="Times New Roman" w:eastAsia="仿宋_GB2312" w:cs="仿宋_GB2312"/>
          <w:bCs/>
          <w:kern w:val="0"/>
          <w:sz w:val="34"/>
          <w:szCs w:val="34"/>
        </w:rPr>
        <w:t>亿元，</w:t>
      </w:r>
      <w:r>
        <w:rPr>
          <w:rFonts w:hint="eastAsia" w:ascii="Times New Roman" w:hAnsi="Times New Roman" w:eastAsia="仿宋_GB2312" w:cs="仿宋_GB2312"/>
          <w:bCs/>
          <w:kern w:val="0"/>
          <w:sz w:val="34"/>
          <w:szCs w:val="34"/>
          <w:lang w:eastAsia="zh-CN"/>
        </w:rPr>
        <w:t>失业</w:t>
      </w:r>
      <w:r>
        <w:rPr>
          <w:rFonts w:hint="eastAsia" w:ascii="Times New Roman" w:hAnsi="Times New Roman" w:eastAsia="仿宋_GB2312" w:cs="仿宋_GB2312"/>
          <w:bCs/>
          <w:kern w:val="0"/>
          <w:sz w:val="34"/>
          <w:szCs w:val="34"/>
        </w:rPr>
        <w:t>保险基金收入335万元。</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社</w:t>
      </w:r>
      <w:r>
        <w:rPr>
          <w:rFonts w:hint="eastAsia" w:ascii="Times New Roman" w:hAnsi="Times New Roman" w:eastAsia="仿宋_GB2312" w:cs="仿宋_GB2312"/>
          <w:bCs/>
          <w:kern w:val="0"/>
          <w:sz w:val="34"/>
          <w:szCs w:val="34"/>
          <w:lang w:eastAsia="zh-CN"/>
        </w:rPr>
        <w:t>会保险</w:t>
      </w:r>
      <w:r>
        <w:rPr>
          <w:rFonts w:hint="eastAsia" w:ascii="Times New Roman" w:hAnsi="Times New Roman" w:eastAsia="仿宋_GB2312" w:cs="仿宋_GB2312"/>
          <w:bCs/>
          <w:kern w:val="0"/>
          <w:sz w:val="34"/>
          <w:szCs w:val="34"/>
        </w:rPr>
        <w:t>基金预算收入</w:t>
      </w:r>
      <w:r>
        <w:rPr>
          <w:rFonts w:hint="eastAsia" w:ascii="Times New Roman" w:hAnsi="Times New Roman" w:cs="仿宋_GB2312"/>
          <w:bCs/>
          <w:kern w:val="0"/>
          <w:sz w:val="34"/>
          <w:szCs w:val="34"/>
          <w:lang w:val="en-US" w:eastAsia="zh-CN"/>
        </w:rPr>
        <w:t>1.94</w:t>
      </w:r>
      <w:r>
        <w:rPr>
          <w:rFonts w:hint="eastAsia" w:ascii="Times New Roman" w:hAnsi="Times New Roman" w:eastAsia="仿宋_GB2312" w:cs="仿宋_GB2312"/>
          <w:bCs/>
          <w:kern w:val="0"/>
          <w:sz w:val="34"/>
          <w:szCs w:val="34"/>
        </w:rPr>
        <w:t>亿元加上上年年末滚存结余1.42亿元，减去上解支出98万元，社保基金预算财力为</w:t>
      </w:r>
      <w:r>
        <w:rPr>
          <w:rFonts w:hint="eastAsia" w:ascii="Times New Roman" w:hAnsi="Times New Roman" w:cs="仿宋_GB2312"/>
          <w:bCs/>
          <w:kern w:val="0"/>
          <w:sz w:val="34"/>
          <w:szCs w:val="34"/>
          <w:lang w:val="en-US" w:eastAsia="zh-CN"/>
        </w:rPr>
        <w:t>3.37</w:t>
      </w:r>
      <w:r>
        <w:rPr>
          <w:rFonts w:hint="eastAsia" w:ascii="Times New Roman" w:hAnsi="Times New Roman" w:eastAsia="仿宋_GB2312" w:cs="仿宋_GB2312"/>
          <w:bCs/>
          <w:kern w:val="0"/>
          <w:sz w:val="34"/>
          <w:szCs w:val="34"/>
        </w:rPr>
        <w:t>亿元。2021年基金预算支出安排为1.64亿元，年末滚存结余为1.</w:t>
      </w:r>
      <w:r>
        <w:rPr>
          <w:rFonts w:hint="eastAsia" w:ascii="Times New Roman" w:hAnsi="Times New Roman" w:cs="仿宋_GB2312"/>
          <w:bCs/>
          <w:kern w:val="0"/>
          <w:sz w:val="34"/>
          <w:szCs w:val="34"/>
          <w:lang w:val="en-US" w:eastAsia="zh-CN"/>
        </w:rPr>
        <w:t>73</w:t>
      </w:r>
      <w:r>
        <w:rPr>
          <w:rFonts w:hint="eastAsia" w:ascii="Times New Roman" w:hAnsi="Times New Roman" w:eastAsia="仿宋_GB2312" w:cs="仿宋_GB2312"/>
          <w:bCs/>
          <w:kern w:val="0"/>
          <w:sz w:val="34"/>
          <w:szCs w:val="34"/>
        </w:rPr>
        <w:t>亿元。</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主要社保基金预算支出安排如下：</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1.机关事业单位养老保险基金支出1.24亿元，同比增长3.9%；</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2.失业保险基金支出308万元，同比增长3.3%；</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3.城乡居民基本养老保险基金支出3762万元，同比增长13%。</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ascii="Times New Roman" w:hAnsi="Times New Roman" w:eastAsia="楷体_GB2312" w:cs="楷体_GB2312"/>
          <w:b/>
          <w:bCs/>
          <w:kern w:val="0"/>
          <w:sz w:val="34"/>
          <w:szCs w:val="34"/>
        </w:rPr>
      </w:pPr>
      <w:r>
        <w:rPr>
          <w:rFonts w:hint="eastAsia" w:ascii="Times New Roman" w:hAnsi="Times New Roman" w:eastAsia="楷体_GB2312" w:cs="楷体_GB2312"/>
          <w:b/>
          <w:bCs/>
          <w:kern w:val="0"/>
          <w:sz w:val="34"/>
          <w:szCs w:val="34"/>
        </w:rPr>
        <w:t>（四）国有资本经营预算收支计划</w:t>
      </w:r>
    </w:p>
    <w:p>
      <w:pPr>
        <w:pStyle w:val="10"/>
        <w:keepNext w:val="0"/>
        <w:keepLines w:val="0"/>
        <w:pageBreakBefore w:val="0"/>
        <w:kinsoku/>
        <w:wordWrap/>
        <w:overflowPunct/>
        <w:topLinePunct w:val="0"/>
        <w:autoSpaceDE/>
        <w:autoSpaceDN/>
        <w:bidi w:val="0"/>
        <w:adjustRightInd/>
        <w:snapToGrid/>
        <w:spacing w:line="640" w:lineRule="exact"/>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国有资本经营预算收入安排107.4万元，比上年预算数增长9.6%，其中：国有资本经营利润收入103万元，转移支付收入4.4万元。</w:t>
      </w:r>
    </w:p>
    <w:p>
      <w:pPr>
        <w:pStyle w:val="10"/>
        <w:keepNext w:val="0"/>
        <w:keepLines w:val="0"/>
        <w:pageBreakBefore w:val="0"/>
        <w:kinsoku/>
        <w:wordWrap/>
        <w:overflowPunct/>
        <w:topLinePunct w:val="0"/>
        <w:autoSpaceDE/>
        <w:autoSpaceDN/>
        <w:bidi w:val="0"/>
        <w:adjustRightInd/>
        <w:snapToGrid/>
        <w:spacing w:line="640" w:lineRule="exact"/>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国有资本经营预算支出107.4万元，比上年预算数增长9.6%，其中：</w:t>
      </w:r>
    </w:p>
    <w:p>
      <w:pPr>
        <w:pStyle w:val="10"/>
        <w:keepNext w:val="0"/>
        <w:keepLines w:val="0"/>
        <w:pageBreakBefore w:val="0"/>
        <w:kinsoku/>
        <w:wordWrap/>
        <w:overflowPunct/>
        <w:topLinePunct w:val="0"/>
        <w:autoSpaceDE/>
        <w:autoSpaceDN/>
        <w:bidi w:val="0"/>
        <w:adjustRightInd/>
        <w:snapToGrid/>
        <w:spacing w:line="640" w:lineRule="exact"/>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1.国有企业解决历史遗留问题103万元；</w:t>
      </w:r>
    </w:p>
    <w:p>
      <w:pPr>
        <w:pStyle w:val="10"/>
        <w:keepNext w:val="0"/>
        <w:keepLines w:val="0"/>
        <w:pageBreakBefore w:val="0"/>
        <w:kinsoku/>
        <w:wordWrap/>
        <w:overflowPunct/>
        <w:topLinePunct w:val="0"/>
        <w:autoSpaceDE/>
        <w:autoSpaceDN/>
        <w:bidi w:val="0"/>
        <w:adjustRightInd/>
        <w:snapToGrid/>
        <w:spacing w:line="640" w:lineRule="exact"/>
        <w:textAlignment w:val="auto"/>
        <w:rPr>
          <w:rFonts w:hint="eastAsia" w:ascii="Times New Roman" w:hAnsi="Times New Roman" w:eastAsia="仿宋_GB2312" w:cs="仿宋_GB2312"/>
          <w:bCs/>
          <w:kern w:val="0"/>
          <w:sz w:val="34"/>
          <w:szCs w:val="34"/>
        </w:rPr>
      </w:pPr>
      <w:r>
        <w:rPr>
          <w:rFonts w:hint="eastAsia" w:ascii="Times New Roman" w:hAnsi="Times New Roman" w:eastAsia="仿宋_GB2312" w:cs="仿宋_GB2312"/>
          <w:bCs/>
          <w:kern w:val="0"/>
          <w:sz w:val="34"/>
          <w:szCs w:val="34"/>
        </w:rPr>
        <w:t>2.国有企业退休人员社会化管理补助资金4.4万元。</w:t>
      </w:r>
    </w:p>
    <w:p>
      <w:pPr>
        <w:pStyle w:val="10"/>
        <w:keepNext w:val="0"/>
        <w:keepLines w:val="0"/>
        <w:pageBreakBefore w:val="0"/>
        <w:kinsoku/>
        <w:wordWrap/>
        <w:overflowPunct/>
        <w:topLinePunct w:val="0"/>
        <w:autoSpaceDE/>
        <w:autoSpaceDN/>
        <w:bidi w:val="0"/>
        <w:adjustRightInd/>
        <w:snapToGrid/>
        <w:spacing w:line="640" w:lineRule="exact"/>
        <w:textAlignment w:val="auto"/>
        <w:rPr>
          <w:rFonts w:hint="eastAsia" w:ascii="Times New Roman" w:hAnsi="Times New Roman" w:eastAsia="黑体" w:cs="黑体"/>
          <w:sz w:val="34"/>
          <w:szCs w:val="34"/>
        </w:rPr>
      </w:pPr>
      <w:r>
        <w:rPr>
          <w:rFonts w:hint="eastAsia" w:ascii="Times New Roman" w:hAnsi="Times New Roman" w:eastAsia="黑体" w:cs="黑体"/>
          <w:sz w:val="34"/>
          <w:szCs w:val="34"/>
        </w:rPr>
        <w:t>三、凝心聚力、多措并举，全面完成2021年财政工作</w:t>
      </w:r>
    </w:p>
    <w:p>
      <w:pPr>
        <w:pStyle w:val="10"/>
        <w:keepNext w:val="0"/>
        <w:keepLines w:val="0"/>
        <w:pageBreakBefore w:val="0"/>
        <w:kinsoku/>
        <w:wordWrap/>
        <w:overflowPunct/>
        <w:topLinePunct w:val="0"/>
        <w:autoSpaceDE/>
        <w:autoSpaceDN/>
        <w:bidi w:val="0"/>
        <w:adjustRightInd/>
        <w:snapToGrid/>
        <w:spacing w:line="640" w:lineRule="exact"/>
        <w:textAlignment w:val="auto"/>
        <w:rPr>
          <w:rFonts w:ascii="Times New Roman" w:hAnsi="Times New Roman" w:cs="仿宋_GB2312"/>
          <w:sz w:val="34"/>
          <w:szCs w:val="34"/>
        </w:rPr>
      </w:pPr>
      <w:r>
        <w:rPr>
          <w:rFonts w:hint="eastAsia" w:ascii="Times New Roman" w:hAnsi="Times New Roman" w:eastAsia="仿宋_GB2312" w:cs="仿宋_GB2312"/>
          <w:sz w:val="34"/>
          <w:szCs w:val="34"/>
        </w:rPr>
        <w:t>2021年是我国开启现代化建设“十四五”开局之年，也是两个一百年历史交汇点，我们将按照县委确定的财政经济目标，充分发挥财政职能，重点抓好以下工作：</w:t>
      </w:r>
    </w:p>
    <w:p>
      <w:pPr>
        <w:keepNext w:val="0"/>
        <w:keepLines w:val="0"/>
        <w:pageBreakBefore w:val="0"/>
        <w:widowControl/>
        <w:kinsoku/>
        <w:wordWrap/>
        <w:overflowPunct/>
        <w:topLinePunct w:val="0"/>
        <w:autoSpaceDE/>
        <w:autoSpaceDN/>
        <w:bidi w:val="0"/>
        <w:adjustRightInd/>
        <w:snapToGrid/>
        <w:spacing w:line="640" w:lineRule="exact"/>
        <w:ind w:firstLine="683" w:firstLineChars="200"/>
        <w:jc w:val="left"/>
        <w:textAlignment w:val="auto"/>
        <w:rPr>
          <w:rFonts w:ascii="Times New Roman" w:hAnsi="Times New Roman"/>
          <w:sz w:val="34"/>
          <w:szCs w:val="34"/>
        </w:rPr>
      </w:pPr>
      <w:r>
        <w:rPr>
          <w:rFonts w:hint="eastAsia" w:ascii="Times New Roman" w:hAnsi="Times New Roman" w:eastAsia="楷体_GB2312" w:cs="楷体_GB2312"/>
          <w:b/>
          <w:bCs/>
          <w:sz w:val="34"/>
          <w:szCs w:val="34"/>
        </w:rPr>
        <w:t>——更加注重提质增效，全力保障财政经济稳定运行。</w:t>
      </w:r>
      <w:r>
        <w:rPr>
          <w:rFonts w:hint="eastAsia" w:ascii="Times New Roman" w:hAnsi="Times New Roman" w:cs="仿宋_GB2312"/>
          <w:sz w:val="34"/>
          <w:szCs w:val="34"/>
        </w:rPr>
        <w:t>采取有效措施，发挥公共财政的聚财作用，保障经济社会各项支出需要。</w:t>
      </w:r>
      <w:r>
        <w:rPr>
          <w:rFonts w:hint="eastAsia" w:ascii="Times New Roman" w:hAnsi="Times New Roman" w:cs="仿宋_GB2312"/>
          <w:b/>
          <w:bCs/>
          <w:sz w:val="34"/>
          <w:szCs w:val="34"/>
        </w:rPr>
        <w:t>一是培财源。</w:t>
      </w:r>
      <w:r>
        <w:rPr>
          <w:rFonts w:hint="eastAsia" w:ascii="Times New Roman" w:hAnsi="Times New Roman" w:cs="仿宋_GB2312"/>
          <w:sz w:val="34"/>
          <w:szCs w:val="34"/>
        </w:rPr>
        <w:t>充分发挥财税政策“逆周期”的调节作用，全面落实落细减税降费政策，进一步降低企业用能、用工、用地、物流、融资、制度性交易等成本，进一步巩固基础财源，释放实体经济增收潜力。</w:t>
      </w:r>
      <w:r>
        <w:rPr>
          <w:rFonts w:hint="eastAsia" w:ascii="Times New Roman" w:hAnsi="Times New Roman" w:cs="仿宋_GB2312"/>
          <w:b/>
          <w:bCs/>
          <w:sz w:val="34"/>
          <w:szCs w:val="34"/>
        </w:rPr>
        <w:t>二是争财力。</w:t>
      </w:r>
      <w:r>
        <w:rPr>
          <w:rFonts w:hint="eastAsia" w:ascii="Times New Roman" w:hAnsi="Times New Roman" w:cs="仿宋_GB2312"/>
          <w:sz w:val="34"/>
          <w:szCs w:val="34"/>
        </w:rPr>
        <w:t>主动应对省直管县财政管理体制调整，提前储备、谋划项目，聚焦“六稳”“六保”、公共服务等基础领域短板，着力在均衡性转移支付、基本财力保障、重点生态功能区补助资金总量上实现新突破。</w:t>
      </w:r>
      <w:r>
        <w:rPr>
          <w:rFonts w:hint="eastAsia" w:ascii="Times New Roman" w:hAnsi="Times New Roman" w:cs="仿宋_GB2312"/>
          <w:b/>
          <w:bCs/>
          <w:sz w:val="34"/>
          <w:szCs w:val="34"/>
        </w:rPr>
        <w:t>三是提效益。</w:t>
      </w:r>
      <w:r>
        <w:rPr>
          <w:rFonts w:hint="eastAsia" w:ascii="Times New Roman" w:hAnsi="Times New Roman" w:cs="仿宋_GB2312"/>
          <w:sz w:val="34"/>
          <w:szCs w:val="34"/>
        </w:rPr>
        <w:t>加大财政存量资金、专项资金的统筹力度，强化财政资金与产业基金、信贷资金、社会资金的有效衔接，提高引导基金效能；规范推进PPP模式，引入社会资本，增强公共产品供给能力，提高政府统筹能力，增加资金有效供给。</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仿宋_GB2312" w:cs="仿宋_GB2312"/>
          <w:sz w:val="34"/>
          <w:szCs w:val="34"/>
        </w:rPr>
      </w:pPr>
      <w:r>
        <w:rPr>
          <w:rFonts w:hint="eastAsia" w:ascii="Times New Roman" w:hAnsi="Times New Roman" w:eastAsia="楷体_GB2312" w:cs="楷体_GB2312"/>
          <w:b/>
          <w:bCs/>
          <w:sz w:val="34"/>
          <w:szCs w:val="34"/>
        </w:rPr>
        <w:t>——更加注重积极有为，巩固提升经济基本盘。</w:t>
      </w:r>
      <w:r>
        <w:rPr>
          <w:rFonts w:hint="eastAsia" w:ascii="Times New Roman" w:hAnsi="Times New Roman" w:eastAsia="仿宋_GB2312" w:cs="仿宋_GB2312"/>
          <w:sz w:val="34"/>
          <w:szCs w:val="34"/>
        </w:rPr>
        <w:t>牢牢把握高质量跨越式发展首要战略，找准着力点和突破点，发挥好对经济社会进步的牵动引导作用。</w:t>
      </w:r>
      <w:r>
        <w:rPr>
          <w:rFonts w:hint="eastAsia" w:ascii="Times New Roman" w:hAnsi="Times New Roman" w:eastAsia="仿宋_GB2312" w:cs="仿宋_GB2312"/>
          <w:b/>
          <w:bCs/>
          <w:sz w:val="34"/>
          <w:szCs w:val="34"/>
        </w:rPr>
        <w:t>一是稳投资。</w:t>
      </w:r>
      <w:r>
        <w:rPr>
          <w:rFonts w:hint="eastAsia" w:ascii="Times New Roman" w:hAnsi="Times New Roman" w:eastAsia="仿宋_GB2312" w:cs="仿宋_GB2312"/>
          <w:sz w:val="34"/>
          <w:szCs w:val="34"/>
        </w:rPr>
        <w:t>安排基础设施建设资金5207万元，支持城镇老旧小区改造、交通基础设施建设项目；抢抓专项债券扩大使用范围的政策机遇，与全县重点项目有机结合起来，优化债券投向，努力向上争取专项债券额度，保障重点项目刚性需求；统筹安排招商引资、中小企业发展资金1800万元，扩大对外开放，通过投贷联动、资本撬动，吸引和带动社会投资，拉动经济稳增长。</w:t>
      </w:r>
      <w:r>
        <w:rPr>
          <w:rFonts w:hint="eastAsia" w:ascii="Times New Roman" w:hAnsi="Times New Roman" w:eastAsia="仿宋_GB2312" w:cs="仿宋_GB2312"/>
          <w:b/>
          <w:bCs/>
          <w:sz w:val="34"/>
          <w:szCs w:val="34"/>
        </w:rPr>
        <w:t>二是拓消费。</w:t>
      </w:r>
      <w:r>
        <w:rPr>
          <w:rFonts w:hint="eastAsia" w:ascii="Times New Roman" w:hAnsi="Times New Roman" w:eastAsia="仿宋_GB2312" w:cs="仿宋_GB2312"/>
          <w:sz w:val="34"/>
          <w:szCs w:val="34"/>
        </w:rPr>
        <w:t>安排旅游发展资金1300万元，更高水平打造服务大湾区重要旅游目的地，持续推进旅游“珍珠链”战略，加快鼎龙十里桃江国际森林度假区建设，完善国家级攀岩小镇、天龙山景区、雅溪古村景区功能要素配套；拓宽全域旅游服务消费，激活旅游市场，构筑旅游产业发展新引擎；全面落实新一轮汽车下乡、家电以旧换新驱动消费政策，多渠道支持优化市场供给，不断释放消费需求。</w:t>
      </w:r>
      <w:r>
        <w:rPr>
          <w:rFonts w:hint="eastAsia" w:ascii="Times New Roman" w:hAnsi="Times New Roman" w:eastAsia="仿宋_GB2312" w:cs="仿宋_GB2312"/>
          <w:b/>
          <w:bCs/>
          <w:sz w:val="34"/>
          <w:szCs w:val="34"/>
        </w:rPr>
        <w:t>三是增效率。</w:t>
      </w:r>
      <w:r>
        <w:rPr>
          <w:rFonts w:hint="eastAsia" w:ascii="Times New Roman" w:hAnsi="Times New Roman" w:eastAsia="仿宋_GB2312" w:cs="仿宋_GB2312"/>
          <w:sz w:val="34"/>
          <w:szCs w:val="34"/>
        </w:rPr>
        <w:t>扩大直达资金范围，提高直达资金管理水平，直接惠企利民，保居民就业、保市场主体、保基本民生，切实解决政策落地“最后一公里”问题，全部落实到企业特别是中小微企业，落实到社保、低保、失业、养老和特困人员身上。</w:t>
      </w:r>
    </w:p>
    <w:p>
      <w:pPr>
        <w:keepNext w:val="0"/>
        <w:keepLines w:val="0"/>
        <w:pageBreakBefore w:val="0"/>
        <w:widowControl/>
        <w:kinsoku/>
        <w:wordWrap/>
        <w:overflowPunct/>
        <w:topLinePunct w:val="0"/>
        <w:autoSpaceDE/>
        <w:autoSpaceDN/>
        <w:bidi w:val="0"/>
        <w:adjustRightInd/>
        <w:snapToGrid/>
        <w:spacing w:line="640" w:lineRule="exact"/>
        <w:ind w:firstLine="1024" w:firstLineChars="300"/>
        <w:jc w:val="left"/>
        <w:textAlignment w:val="auto"/>
        <w:rPr>
          <w:rFonts w:ascii="Times New Roman" w:hAnsi="Times New Roman" w:cs="仿宋_GB2312"/>
          <w:sz w:val="34"/>
          <w:szCs w:val="34"/>
        </w:rPr>
      </w:pPr>
      <w:r>
        <w:rPr>
          <w:rFonts w:hint="eastAsia" w:ascii="Times New Roman" w:hAnsi="Times New Roman" w:eastAsia="楷体_GB2312" w:cs="楷体_GB2312"/>
          <w:b/>
          <w:bCs/>
          <w:sz w:val="34"/>
          <w:szCs w:val="34"/>
        </w:rPr>
        <w:t>——更加注重创新引领，持续加强财政要素供给。</w:t>
      </w:r>
      <w:r>
        <w:rPr>
          <w:rFonts w:hint="eastAsia" w:ascii="Times New Roman" w:hAnsi="Times New Roman" w:eastAsia="仿宋_GB2312" w:cs="仿宋_GB2312"/>
          <w:sz w:val="34"/>
          <w:szCs w:val="34"/>
        </w:rPr>
        <w:t>紧扣工业倍增升级要求和“三年再翻番”目标，更高水平承接大湾区电子信息产业转移基地，持续推动电子信息产业集群集聚、龙头企业发展壮大、工业园迭代升级，发挥财政资金在优化结构、促进转型上的引导作用。</w:t>
      </w:r>
      <w:r>
        <w:rPr>
          <w:rFonts w:hint="eastAsia" w:ascii="Times New Roman" w:hAnsi="Times New Roman" w:eastAsia="仿宋_GB2312" w:cs="仿宋_GB2312"/>
          <w:b/>
          <w:bCs/>
          <w:color w:val="000000"/>
          <w:sz w:val="34"/>
          <w:szCs w:val="34"/>
          <w:shd w:val="clear" w:color="auto" w:fill="FFFFFF"/>
        </w:rPr>
        <w:t>一是推创新。</w:t>
      </w:r>
      <w:r>
        <w:rPr>
          <w:rFonts w:hint="eastAsia" w:ascii="Times New Roman" w:hAnsi="Times New Roman" w:eastAsia="仿宋_GB2312" w:cs="仿宋_GB2312"/>
          <w:color w:val="000000"/>
          <w:sz w:val="34"/>
          <w:szCs w:val="34"/>
          <w:shd w:val="clear" w:color="auto" w:fill="FFFFFF"/>
        </w:rPr>
        <w:t>统</w:t>
      </w:r>
      <w:r>
        <w:rPr>
          <w:rFonts w:hint="eastAsia" w:ascii="Times New Roman" w:hAnsi="Times New Roman" w:eastAsia="仿宋_GB2312" w:cs="仿宋_GB2312"/>
          <w:kern w:val="0"/>
          <w:sz w:val="34"/>
          <w:szCs w:val="34"/>
        </w:rPr>
        <w:t>筹整合工业发展、科技发展资金</w:t>
      </w:r>
      <w:r>
        <w:rPr>
          <w:rFonts w:hint="eastAsia" w:ascii="Times New Roman" w:hAnsi="Times New Roman" w:eastAsia="仿宋_GB2312" w:cs="仿宋_GB2312"/>
          <w:color w:val="000000"/>
          <w:sz w:val="34"/>
          <w:szCs w:val="34"/>
          <w:shd w:val="clear" w:color="auto" w:fill="FFFFFF"/>
        </w:rPr>
        <w:t>5550</w:t>
      </w:r>
      <w:r>
        <w:rPr>
          <w:rFonts w:hint="eastAsia" w:ascii="Times New Roman" w:hAnsi="Times New Roman" w:eastAsia="仿宋_GB2312" w:cs="仿宋_GB2312"/>
          <w:kern w:val="0"/>
          <w:sz w:val="34"/>
          <w:szCs w:val="34"/>
        </w:rPr>
        <w:t>万元，进一步推动“产学研用”园区满园扩园，支持华派光电、佳信捷5G与中科院合作共建实验室，支持晶阳光电创建市级工程技术研究中心，支持中瓷博士后工作站开展深度研发、研产一体发展，引导佳信捷5G、中瓷等企业申报创建国家级、省级技术创新中心，持续加大研发投入；支持创新驱动“5020”工程，促进科技成果转化和利用。</w:t>
      </w:r>
      <w:r>
        <w:rPr>
          <w:rFonts w:hint="eastAsia" w:ascii="Times New Roman" w:hAnsi="Times New Roman" w:eastAsia="仿宋_GB2312" w:cs="仿宋_GB2312"/>
          <w:b/>
          <w:bCs/>
          <w:color w:val="000000"/>
          <w:sz w:val="34"/>
          <w:szCs w:val="34"/>
          <w:shd w:val="clear" w:color="auto" w:fill="FFFFFF"/>
        </w:rPr>
        <w:t>二是促产业。</w:t>
      </w:r>
      <w:r>
        <w:rPr>
          <w:rFonts w:hint="eastAsia" w:ascii="Times New Roman" w:hAnsi="Times New Roman" w:eastAsia="仿宋_GB2312" w:cs="仿宋_GB2312"/>
          <w:kern w:val="0"/>
          <w:sz w:val="34"/>
          <w:szCs w:val="34"/>
        </w:rPr>
        <w:t>扶持支持发展壮大络鑫电子、美缤电子、盛新储能等龙头企业，通过资金支持、奖励激励等措施，推动企业达产达标、扩大生产；大力实施企业上市“映山红行动”，加快晶环科技、瑞隆科技等企业上市步伐；持续推动不锈钢、稀土新材料、氟新材料优势产业延伸产业链、迈向高端化，着力形成“一主三优”竞相发展的良好局面；</w:t>
      </w:r>
      <w:r>
        <w:rPr>
          <w:rFonts w:hint="eastAsia" w:ascii="Times New Roman" w:hAnsi="Times New Roman" w:eastAsia="仿宋_GB2312" w:cs="仿宋_GB2312"/>
          <w:sz w:val="34"/>
          <w:szCs w:val="34"/>
        </w:rPr>
        <w:t>加大投融资力度，持续推进标准厂房建设，完善工业平台设施配套，支持引进一批规模大、附加值高的工业和服务业实体项目，统筹推进产城融合，带动园区信息咨询、金融保险、会展商务等现代服务业发展；大力支持“亩均论英雄”改革，腾退工业园区“僵尸企业”、低端企业，通过“腾笼换鸟”、高端替代促进园区迭代升级。</w:t>
      </w:r>
      <w:r>
        <w:rPr>
          <w:rFonts w:hint="eastAsia" w:ascii="Times New Roman" w:hAnsi="Times New Roman" w:eastAsia="仿宋_GB2312" w:cs="仿宋_GB2312"/>
          <w:b/>
          <w:bCs/>
          <w:sz w:val="34"/>
          <w:szCs w:val="34"/>
        </w:rPr>
        <w:t>三是优环境。</w:t>
      </w:r>
      <w:r>
        <w:rPr>
          <w:rFonts w:hint="eastAsia" w:ascii="Times New Roman" w:hAnsi="Times New Roman" w:eastAsia="仿宋_GB2312" w:cs="仿宋_GB2312"/>
          <w:sz w:val="34"/>
          <w:szCs w:val="34"/>
        </w:rPr>
        <w:t>深入推进“降成本，优环境”专项行动，加大各类违规涉企收费整治力度，坚决清理乱收费现象，用足用好“五个信贷通”、融资担保等优惠政策，推动企业降本增效。</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仿宋_GB2312" w:cs="仿宋_GB2312"/>
          <w:sz w:val="34"/>
          <w:szCs w:val="34"/>
        </w:rPr>
      </w:pPr>
      <w:r>
        <w:rPr>
          <w:rFonts w:hint="eastAsia" w:ascii="Times New Roman" w:hAnsi="Times New Roman" w:eastAsia="楷体_GB2312" w:cs="楷体_GB2312"/>
          <w:b/>
          <w:bCs/>
          <w:sz w:val="34"/>
          <w:szCs w:val="34"/>
        </w:rPr>
        <w:t>——更加注重保障民生，支持全面推进乡村振兴。</w:t>
      </w:r>
      <w:r>
        <w:rPr>
          <w:rFonts w:hint="eastAsia" w:ascii="Times New Roman" w:hAnsi="Times New Roman" w:eastAsia="仿宋_GB2312" w:cs="仿宋_GB2312"/>
          <w:sz w:val="34"/>
          <w:szCs w:val="34"/>
        </w:rPr>
        <w:t>优化财政支出结构，坚持有保有压，集中财力向民生事业倾斜。</w:t>
      </w:r>
      <w:r>
        <w:rPr>
          <w:rFonts w:hint="eastAsia" w:ascii="Times New Roman" w:hAnsi="Times New Roman" w:eastAsia="仿宋_GB2312" w:cs="仿宋_GB2312"/>
          <w:b/>
          <w:bCs/>
          <w:sz w:val="34"/>
          <w:szCs w:val="34"/>
        </w:rPr>
        <w:t>一是固成果。</w:t>
      </w:r>
      <w:r>
        <w:rPr>
          <w:rFonts w:hint="eastAsia" w:ascii="Times New Roman" w:hAnsi="Times New Roman" w:eastAsia="仿宋_GB2312" w:cs="仿宋_GB2312"/>
          <w:color w:val="000000"/>
          <w:sz w:val="34"/>
          <w:szCs w:val="34"/>
          <w:shd w:val="clear" w:color="auto" w:fill="FFFFFF"/>
        </w:rPr>
        <w:t>统筹安排巩固脱贫攻坚及乡村振兴专项资金2500万元，逐步提高土地出让收入用于农业农村的比例，按照“四个不摘”的要求，加大“三农投入”，支持脱贫攻坚与乡村振兴有效衔接，推动高山蔬菜、林下灵芝等农业优势产业扩面提质，加快冷链、仓储等设施建设，大力引进农副产品深加工企业，更高水平构筑面向大湾区优质农副产品直供基地。</w:t>
      </w:r>
      <w:r>
        <w:rPr>
          <w:rFonts w:hint="eastAsia" w:ascii="Times New Roman" w:hAnsi="Times New Roman" w:eastAsia="仿宋_GB2312" w:cs="仿宋_GB2312"/>
          <w:b/>
          <w:bCs/>
          <w:color w:val="000000"/>
          <w:sz w:val="34"/>
          <w:szCs w:val="34"/>
          <w:shd w:val="clear" w:color="auto" w:fill="FFFFFF"/>
        </w:rPr>
        <w:t>二是强保障。</w:t>
      </w:r>
      <w:r>
        <w:rPr>
          <w:rFonts w:hint="eastAsia" w:ascii="Times New Roman" w:hAnsi="Times New Roman" w:eastAsia="仿宋_GB2312" w:cs="仿宋_GB2312"/>
          <w:sz w:val="34"/>
          <w:szCs w:val="34"/>
        </w:rPr>
        <w:t>统筹安排卫生健康资金2.14亿元，慎终如始抓好疫情防控，支持补齐公共卫生服务短板，</w:t>
      </w:r>
      <w:r>
        <w:rPr>
          <w:rFonts w:hint="eastAsia" w:ascii="Times New Roman" w:hAnsi="Times New Roman" w:eastAsia="仿宋_GB2312" w:cs="仿宋_GB2312"/>
          <w:color w:val="000000"/>
          <w:kern w:val="0"/>
          <w:sz w:val="34"/>
          <w:szCs w:val="34"/>
        </w:rPr>
        <w:t>推进</w:t>
      </w:r>
      <w:r>
        <w:rPr>
          <w:rFonts w:hint="eastAsia" w:ascii="Times New Roman" w:hAnsi="Times New Roman" w:eastAsia="仿宋_GB2312" w:cs="仿宋_GB2312"/>
          <w:sz w:val="34"/>
          <w:szCs w:val="34"/>
        </w:rPr>
        <w:t>公共卫生和重大疫情防控救治体系建设，全力保障疫情防控资金需求，全面落实疫情防控各项政策，巩固好来之不易的疫情防控成果。</w:t>
      </w:r>
      <w:r>
        <w:rPr>
          <w:rFonts w:hint="eastAsia" w:ascii="Times New Roman" w:hAnsi="Times New Roman" w:eastAsia="仿宋_GB2312" w:cs="仿宋_GB2312"/>
          <w:b/>
          <w:bCs/>
          <w:sz w:val="34"/>
          <w:szCs w:val="34"/>
        </w:rPr>
        <w:t>三是托基本。</w:t>
      </w:r>
      <w:r>
        <w:rPr>
          <w:rFonts w:hint="eastAsia" w:ascii="Times New Roman" w:hAnsi="Times New Roman" w:eastAsia="仿宋_GB2312" w:cs="仿宋_GB2312"/>
          <w:sz w:val="34"/>
          <w:szCs w:val="34"/>
        </w:rPr>
        <w:t>安排教育资金3.07亿元，推动财政教育投入进一步向义务教育等基本公共服务、薄弱环节、教师队伍建设倾斜；安排社会保障和就业资金2.31亿元，重点在促进就业、完善社保等方面加大支持力度，帮助重点群体多渠道就业创业，提高城乡低保、抚恤救助、社会救助等标准。</w:t>
      </w:r>
    </w:p>
    <w:p>
      <w:pPr>
        <w:keepNext w:val="0"/>
        <w:keepLines w:val="0"/>
        <w:pageBreakBefore w:val="0"/>
        <w:kinsoku/>
        <w:wordWrap/>
        <w:overflowPunct/>
        <w:topLinePunct w:val="0"/>
        <w:autoSpaceDE/>
        <w:autoSpaceDN/>
        <w:bidi w:val="0"/>
        <w:adjustRightInd/>
        <w:snapToGrid/>
        <w:spacing w:line="640" w:lineRule="exact"/>
        <w:ind w:firstLine="683"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楷体_GB2312" w:cs="楷体_GB2312"/>
          <w:b/>
          <w:bCs/>
          <w:sz w:val="34"/>
          <w:szCs w:val="34"/>
        </w:rPr>
        <w:t>——更加注重守正创新，推进财政治理体系建设。</w:t>
      </w:r>
      <w:r>
        <w:rPr>
          <w:rFonts w:hint="eastAsia" w:ascii="Times New Roman" w:hAnsi="Times New Roman" w:eastAsia="仿宋_GB2312" w:cs="仿宋_GB2312"/>
          <w:sz w:val="34"/>
          <w:szCs w:val="34"/>
        </w:rPr>
        <w:t>注重科学规范与效益提升的融合作用，加快构建现代财政体系。</w:t>
      </w:r>
      <w:r>
        <w:rPr>
          <w:rFonts w:hint="eastAsia" w:ascii="Times New Roman" w:hAnsi="Times New Roman" w:eastAsia="仿宋_GB2312" w:cs="仿宋_GB2312"/>
          <w:b/>
          <w:bCs/>
          <w:sz w:val="34"/>
          <w:szCs w:val="34"/>
        </w:rPr>
        <w:t>一是严把关。</w:t>
      </w:r>
      <w:r>
        <w:rPr>
          <w:rFonts w:hint="eastAsia" w:ascii="Times New Roman" w:hAnsi="Times New Roman" w:eastAsia="仿宋_GB2312" w:cs="仿宋_GB2312"/>
          <w:sz w:val="34"/>
          <w:szCs w:val="34"/>
        </w:rPr>
        <w:t>牢固树立过紧日子的思想，落实好跨年度预算平衡机制，优化支出结构，切实压减非刚性非重点支出，坚持“三保”支出优先顺序，坚决守住“三保”底线。</w:t>
      </w:r>
      <w:r>
        <w:rPr>
          <w:rFonts w:hint="eastAsia" w:ascii="Times New Roman" w:hAnsi="Times New Roman" w:eastAsia="仿宋_GB2312" w:cs="仿宋_GB2312"/>
          <w:b/>
          <w:bCs/>
          <w:sz w:val="34"/>
          <w:szCs w:val="34"/>
        </w:rPr>
        <w:t>二是防风险。</w:t>
      </w:r>
      <w:r>
        <w:rPr>
          <w:rFonts w:hint="eastAsia" w:ascii="Times New Roman" w:hAnsi="Times New Roman" w:eastAsia="仿宋_GB2312" w:cs="仿宋_GB2312"/>
          <w:kern w:val="0"/>
          <w:sz w:val="34"/>
          <w:szCs w:val="34"/>
        </w:rPr>
        <w:t>坚持底线思维，设立偿债准备金1.5亿元，</w:t>
      </w:r>
      <w:r>
        <w:rPr>
          <w:rFonts w:hint="eastAsia" w:ascii="Times New Roman" w:hAnsi="Times New Roman" w:eastAsia="仿宋_GB2312" w:cs="仿宋_GB2312"/>
          <w:sz w:val="34"/>
          <w:szCs w:val="34"/>
        </w:rPr>
        <w:t>盘活有效国有资产，融合特许经营权、经营性资源，增强企业营利能力，</w:t>
      </w:r>
      <w:r>
        <w:rPr>
          <w:rFonts w:hint="eastAsia" w:ascii="Times New Roman" w:hAnsi="Times New Roman" w:eastAsia="仿宋_GB2312" w:cs="仿宋_GB2312"/>
          <w:kern w:val="0"/>
          <w:sz w:val="34"/>
          <w:szCs w:val="34"/>
        </w:rPr>
        <w:t>有序推进年度化债计划，确保政府债务控制在合理区间，筑牢防范债务风险的“隔离墙”。</w:t>
      </w:r>
      <w:r>
        <w:rPr>
          <w:rFonts w:hint="eastAsia" w:ascii="Times New Roman" w:hAnsi="Times New Roman" w:eastAsia="仿宋_GB2312" w:cs="仿宋_GB2312"/>
          <w:b/>
          <w:bCs/>
          <w:kern w:val="0"/>
          <w:sz w:val="34"/>
          <w:szCs w:val="34"/>
        </w:rPr>
        <w:t>三是重治理。</w:t>
      </w:r>
      <w:r>
        <w:rPr>
          <w:rFonts w:hint="eastAsia" w:ascii="Times New Roman" w:hAnsi="Times New Roman" w:eastAsia="仿宋_GB2312" w:cs="仿宋_GB2312"/>
          <w:kern w:val="0"/>
          <w:sz w:val="34"/>
          <w:szCs w:val="34"/>
        </w:rPr>
        <w:t>健全指标评价体系，全面实施预算绩效管理，传导压实绩效主体责任，强化评价结果运用，建立以绩效为导向的预算分配体系；深入推进零基预算改革，坚持量入为出，打破基数固化格局，以部门发展支出需求为导向，提高</w:t>
      </w:r>
      <w:r>
        <w:rPr>
          <w:rFonts w:hint="eastAsia" w:ascii="Times New Roman" w:hAnsi="Times New Roman" w:eastAsia="仿宋_GB2312" w:cs="仿宋_GB2312"/>
          <w:sz w:val="34"/>
          <w:szCs w:val="34"/>
        </w:rPr>
        <w:t>预算编制的科学性、准确性和实效性；</w:t>
      </w:r>
      <w:r>
        <w:rPr>
          <w:rFonts w:hint="eastAsia" w:ascii="Times New Roman" w:hAnsi="Times New Roman" w:eastAsia="仿宋_GB2312" w:cs="仿宋_GB2312"/>
          <w:kern w:val="0"/>
          <w:sz w:val="34"/>
          <w:szCs w:val="34"/>
        </w:rPr>
        <w:t>健全内控机制，推动资产管理、投资评审、财政监督、政府采购、国库集中支付与预算管理事前、事中、事后的有机结合，构建财政运行新机制，提高财政治理能力。</w:t>
      </w:r>
    </w:p>
    <w:p>
      <w:pPr>
        <w:keepNext w:val="0"/>
        <w:keepLines w:val="0"/>
        <w:pageBreakBefore w:val="0"/>
        <w:kinsoku/>
        <w:wordWrap/>
        <w:overflowPunct/>
        <w:topLinePunct w:val="0"/>
        <w:autoSpaceDE/>
        <w:autoSpaceDN/>
        <w:bidi w:val="0"/>
        <w:adjustRightInd/>
        <w:snapToGrid/>
        <w:spacing w:line="640" w:lineRule="exact"/>
        <w:ind w:firstLine="680" w:firstLineChars="200"/>
        <w:textAlignment w:val="auto"/>
        <w:rPr>
          <w:rFonts w:hint="eastAsia" w:ascii="Times New Roman" w:hAnsi="Times New Roman" w:eastAsia="仿宋_GB2312" w:cs="仿宋_GB2312"/>
          <w:kern w:val="0"/>
          <w:sz w:val="34"/>
          <w:szCs w:val="34"/>
        </w:rPr>
      </w:pPr>
      <w:r>
        <w:rPr>
          <w:rFonts w:hint="eastAsia" w:ascii="Times New Roman" w:hAnsi="Times New Roman" w:eastAsia="仿宋_GB2312" w:cs="仿宋_GB2312"/>
          <w:kern w:val="0"/>
          <w:sz w:val="34"/>
          <w:szCs w:val="34"/>
        </w:rPr>
        <w:t>各位代表，2021年是</w:t>
      </w:r>
      <w:r>
        <w:rPr>
          <w:rFonts w:hint="eastAsia" w:ascii="Times New Roman" w:hAnsi="Times New Roman" w:cs="仿宋_GB2312"/>
          <w:kern w:val="0"/>
          <w:sz w:val="34"/>
          <w:szCs w:val="34"/>
          <w:lang w:eastAsia="zh-CN"/>
        </w:rPr>
        <w:t>中国共产党成立100周年</w:t>
      </w:r>
      <w:r>
        <w:rPr>
          <w:rFonts w:hint="eastAsia" w:ascii="Times New Roman" w:hAnsi="Times New Roman" w:eastAsia="仿宋_GB2312" w:cs="仿宋_GB2312"/>
          <w:kern w:val="0"/>
          <w:sz w:val="34"/>
          <w:szCs w:val="34"/>
        </w:rPr>
        <w:t>，是“十四五”规划开局之年，做好今年的财政工作意义重大、任务艰巨。我们将在县委的坚强领导下，在县人大</w:t>
      </w:r>
      <w:r>
        <w:rPr>
          <w:rFonts w:hint="eastAsia" w:ascii="Times New Roman" w:hAnsi="Times New Roman" w:cs="仿宋_GB2312"/>
          <w:kern w:val="0"/>
          <w:sz w:val="34"/>
          <w:szCs w:val="34"/>
          <w:lang w:eastAsia="zh-CN"/>
        </w:rPr>
        <w:t>及常委</w:t>
      </w:r>
      <w:r>
        <w:rPr>
          <w:rFonts w:hint="eastAsia" w:ascii="Times New Roman" w:hAnsi="Times New Roman" w:eastAsia="仿宋_GB2312" w:cs="仿宋_GB2312"/>
          <w:kern w:val="0"/>
          <w:sz w:val="34"/>
          <w:szCs w:val="34"/>
        </w:rPr>
        <w:t>依法监督和县政协民主监督下，锐意进取，攻坚克难，高质量完成2021年财政预算任务，为全南进位赶超、跨越发展，打造对接融入粤港澳大湾区的核心门户、前沿高地，争当对接融入大湾区的突击先锋、前哨尖兵作出应有贡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cs="Times New Roman"/>
          <w:szCs w:val="32"/>
          <w:highlight w:val="yellow"/>
        </w:rPr>
      </w:pPr>
    </w:p>
    <w:p>
      <w:pPr>
        <w:pStyle w:val="2"/>
        <w:rPr>
          <w:rFonts w:ascii="Times New Roman" w:hAnsi="Times New Roman" w:cs="Times New Roman"/>
          <w:szCs w:val="32"/>
          <w:highlight w:val="yellow"/>
        </w:rPr>
      </w:pPr>
    </w:p>
    <w:p>
      <w:pPr>
        <w:rPr>
          <w:rFonts w:ascii="Times New Roman" w:hAnsi="Times New Roma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kern w:val="0"/>
          <w:sz w:val="44"/>
          <w:szCs w:val="44"/>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eastAsia="方正小标宋简体" w:cs="方正小标宋简体"/>
          <w:kern w:val="0"/>
          <w:sz w:val="44"/>
          <w:szCs w:val="44"/>
        </w:rPr>
      </w:pPr>
      <w:r>
        <w:rPr>
          <w:rFonts w:hint="eastAsia" w:ascii="Times New Roman" w:hAnsi="Times New Roman" w:eastAsia="方正小标宋简体" w:cs="方正小标宋简体"/>
          <w:kern w:val="0"/>
          <w:sz w:val="46"/>
          <w:szCs w:val="46"/>
        </w:rPr>
        <w:t>《预算报告》有关情况说明</w:t>
      </w:r>
    </w:p>
    <w:p>
      <w:pPr>
        <w:pStyle w:val="10"/>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Theme="minorEastAsia" w:cstheme="minorEastAsia"/>
          <w:b/>
          <w:bCs/>
          <w:kern w:val="0"/>
        </w:rPr>
      </w:pP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1.公共财政预算：</w:t>
      </w:r>
      <w:r>
        <w:rPr>
          <w:rFonts w:hint="eastAsia" w:ascii="Times New Roman" w:hAnsi="Times New Roman" w:cs="仿宋_GB2312"/>
          <w:kern w:val="0"/>
          <w:sz w:val="34"/>
          <w:szCs w:val="34"/>
        </w:rPr>
        <w:t>是指对以税收为主体的财政收入，安排用于保障和改善民生、推动经济社会发展、维护国家安全、维持国家机构正常运转等方面的收支预算。</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2.政府性基金预算：</w:t>
      </w:r>
      <w:r>
        <w:rPr>
          <w:rFonts w:hint="eastAsia" w:ascii="Times New Roman" w:hAnsi="Times New Roman" w:cs="仿宋_GB2312"/>
          <w:kern w:val="0"/>
          <w:sz w:val="34"/>
          <w:szCs w:val="34"/>
        </w:rPr>
        <w:t>是对依照法律、行政法规的规定在一定期限内向特定对象征收、收取或者以其他方式筹集的资金，专项用于特定公共事业发展的收支预算。</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3.国有资本经营预算：</w:t>
      </w:r>
      <w:r>
        <w:rPr>
          <w:rFonts w:hint="eastAsia" w:ascii="Times New Roman" w:hAnsi="Times New Roman" w:cs="仿宋_GB2312"/>
          <w:kern w:val="0"/>
          <w:sz w:val="34"/>
          <w:szCs w:val="34"/>
        </w:rPr>
        <w:t>是国家</w:t>
      </w:r>
      <w:r>
        <w:rPr>
          <w:rFonts w:hint="eastAsia" w:ascii="Times New Roman" w:hAnsi="Times New Roman" w:cs="仿宋_GB2312"/>
          <w:kern w:val="0"/>
          <w:sz w:val="34"/>
          <w:szCs w:val="34"/>
          <w:lang w:eastAsia="zh-CN"/>
        </w:rPr>
        <w:t>以</w:t>
      </w:r>
      <w:r>
        <w:rPr>
          <w:rFonts w:hint="eastAsia" w:ascii="Times New Roman" w:hAnsi="Times New Roman" w:cs="仿宋_GB2312"/>
          <w:kern w:val="0"/>
          <w:sz w:val="34"/>
          <w:szCs w:val="34"/>
        </w:rPr>
        <w:t>所有者身份依法取得国有资本收益，并对所有收益进行分配而发生的各项收支预算。主要包括从国家出资企业取得的利润、股利、股息和国有产权（股权）转让收入、清算收入等。</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4.社会保险基金预算：</w:t>
      </w:r>
      <w:r>
        <w:rPr>
          <w:rFonts w:hint="eastAsia" w:ascii="Times New Roman" w:hAnsi="Times New Roman" w:cs="仿宋_GB2312"/>
          <w:kern w:val="0"/>
          <w:sz w:val="34"/>
          <w:szCs w:val="34"/>
        </w:rPr>
        <w:t>是对社会保险缴款、一般公共预算安排和其他方式筹集的资金，专项用于社会保险的收支预算。</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5.财政总收入：</w:t>
      </w:r>
      <w:r>
        <w:rPr>
          <w:rFonts w:hint="eastAsia" w:ascii="Times New Roman" w:hAnsi="Times New Roman" w:cs="仿宋_GB2312"/>
          <w:kern w:val="0"/>
          <w:sz w:val="34"/>
          <w:szCs w:val="34"/>
        </w:rPr>
        <w:t>根据省财政厅统一明确的口径，包括一般公共预算收入，在当地缴纳的国内消费税、增值税中央和省级分享收入、纳入分享范围的企业所得税和个人所得税中央和省级分享收入。但不包括中央独享、地方不参与分成的税收收入以及缴入中央和省级金库的非税收入。</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6.非税收入：</w:t>
      </w:r>
      <w:r>
        <w:rPr>
          <w:rFonts w:hint="eastAsia" w:ascii="Times New Roman" w:hAnsi="Times New Roman" w:cs="仿宋_GB2312"/>
          <w:kern w:val="0"/>
          <w:sz w:val="34"/>
          <w:szCs w:val="34"/>
        </w:rPr>
        <w:t>是指各级政府及其所属部门和单位依法利用行政权力、政府信誉、国家资源、国有资产或提供特定公共服务征收、收取、提取、募集的除税收和政府债务收入以外的财政收入，包括：专项收入、行政事业性收费、罚没收入、国有资源（资产）有偿使用收入、政府性基金、以政府名义接受的捐赠收入等。</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7.新增地方政府债券：</w:t>
      </w:r>
      <w:r>
        <w:rPr>
          <w:rFonts w:hint="eastAsia" w:ascii="Times New Roman" w:hAnsi="Times New Roman" w:cs="仿宋_GB2312"/>
          <w:kern w:val="0"/>
          <w:sz w:val="34"/>
          <w:szCs w:val="34"/>
        </w:rPr>
        <w:t>简称新增债券，根据</w:t>
      </w:r>
      <w:r>
        <w:rPr>
          <w:rFonts w:hint="eastAsia" w:ascii="Times New Roman" w:hAnsi="Times New Roman" w:cs="仿宋_GB2312"/>
          <w:kern w:val="0"/>
          <w:sz w:val="34"/>
          <w:szCs w:val="34"/>
          <w:lang w:eastAsia="zh-CN"/>
        </w:rPr>
        <w:t>中华人民共和国</w:t>
      </w:r>
      <w:r>
        <w:rPr>
          <w:rFonts w:hint="eastAsia" w:ascii="Times New Roman" w:hAnsi="Times New Roman" w:cs="仿宋_GB2312"/>
          <w:kern w:val="0"/>
          <w:sz w:val="34"/>
          <w:szCs w:val="34"/>
        </w:rPr>
        <w:t>预算法等规定，经国务院批准的省、自治区、直辖市的预算中必需的建设投资的部分资金，可以在国务院确定的限额内，由省级政府通过发行地方政府债券的方式筹措。</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8.一般性支出：</w:t>
      </w:r>
      <w:r>
        <w:rPr>
          <w:rFonts w:hint="eastAsia" w:ascii="Times New Roman" w:hAnsi="Times New Roman" w:cs="仿宋_GB2312"/>
          <w:kern w:val="0"/>
          <w:sz w:val="34"/>
          <w:szCs w:val="34"/>
        </w:rPr>
        <w:t>指包括因公出国（镜）经费、公务车购置及运行费、公务接待费等“三公”经费在内的，用于维护国家机构正常运转、满足社会公共部门的正常开支需要的支出。</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9.六大攻坚战：</w:t>
      </w:r>
      <w:r>
        <w:rPr>
          <w:rFonts w:hint="eastAsia" w:ascii="Times New Roman" w:hAnsi="Times New Roman" w:cs="仿宋_GB2312"/>
          <w:kern w:val="0"/>
          <w:sz w:val="34"/>
          <w:szCs w:val="34"/>
        </w:rPr>
        <w:t>指主攻工业、精准扶贫、新型城镇化、现代农业、现代服务业、基础设施建设六大攻坚战。</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hint="eastAsia" w:ascii="Times New Roman" w:hAnsi="Times New Roman" w:eastAsia="仿宋_GB2312" w:cs="仿宋_GB2312"/>
          <w:kern w:val="0"/>
          <w:sz w:val="34"/>
          <w:szCs w:val="34"/>
          <w:lang w:eastAsia="zh-CN"/>
        </w:rPr>
      </w:pPr>
      <w:r>
        <w:rPr>
          <w:rFonts w:hint="eastAsia" w:ascii="Times New Roman" w:hAnsi="Times New Roman" w:eastAsia="楷体_GB2312" w:cs="楷体_GB2312"/>
          <w:b/>
          <w:bCs/>
          <w:kern w:val="0"/>
          <w:sz w:val="34"/>
          <w:szCs w:val="34"/>
        </w:rPr>
        <w:t>10.五个信贷通：</w:t>
      </w:r>
      <w:r>
        <w:rPr>
          <w:rFonts w:hint="eastAsia" w:ascii="Times New Roman" w:hAnsi="Times New Roman" w:cs="仿宋_GB2312"/>
          <w:kern w:val="0"/>
          <w:sz w:val="34"/>
          <w:szCs w:val="34"/>
        </w:rPr>
        <w:t>指财园信贷通、小微信贷通、创业信贷通、惠农信贷通、产业振兴信贷通</w:t>
      </w:r>
      <w:r>
        <w:rPr>
          <w:rFonts w:hint="eastAsia" w:ascii="Times New Roman" w:hAnsi="Times New Roman" w:cs="仿宋_GB2312"/>
          <w:kern w:val="0"/>
          <w:sz w:val="34"/>
          <w:szCs w:val="34"/>
          <w:lang w:eastAsia="zh-CN"/>
        </w:rPr>
        <w:t>。</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11.民生支出：</w:t>
      </w:r>
      <w:r>
        <w:rPr>
          <w:rFonts w:hint="eastAsia" w:ascii="Times New Roman" w:hAnsi="Times New Roman" w:eastAsia="仿宋_GB2312" w:cs="仿宋_GB2312"/>
          <w:kern w:val="0"/>
          <w:sz w:val="34"/>
          <w:szCs w:val="34"/>
        </w:rPr>
        <w:t>参照财政部、省财政厅有关统计办法，将14个大类及其所有款项级科目列为民生领域支出统计范围，主要包括：教育、科技技术、文化旅游体育与传媒、社会保障和就业、卫生健康、城乡社区、农林水、交通运输、住房保障、粮油物资储备等。</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12.三公经费：</w:t>
      </w:r>
      <w:r>
        <w:rPr>
          <w:rFonts w:hint="eastAsia" w:ascii="Times New Roman" w:hAnsi="Times New Roman" w:cs="仿宋_GB2312"/>
          <w:kern w:val="0"/>
          <w:sz w:val="34"/>
          <w:szCs w:val="34"/>
        </w:rPr>
        <w:t>指因公出国（镜）费、公务用车购置费及运行费和公务接待费。</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13.零基预算：</w:t>
      </w:r>
      <w:r>
        <w:rPr>
          <w:rFonts w:hint="eastAsia" w:ascii="Times New Roman" w:hAnsi="Times New Roman" w:cs="仿宋_GB2312"/>
          <w:kern w:val="0"/>
          <w:sz w:val="34"/>
          <w:szCs w:val="34"/>
        </w:rPr>
        <w:t>是指不考虑过去的项目和收支，以零为基点编制预算，具体指不受以往预算安排情况的影响，一切从实际需要出发，逐项审议预算年度内容内各项费用的内容及其开支标准，结合财力状况，在综合平衡的基础上编制预算的现代预算编制办法。</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14.直达资金：</w:t>
      </w:r>
      <w:r>
        <w:rPr>
          <w:rFonts w:hint="eastAsia" w:ascii="Times New Roman" w:hAnsi="Times New Roman" w:cs="仿宋_GB2312"/>
          <w:kern w:val="0"/>
          <w:sz w:val="34"/>
          <w:szCs w:val="34"/>
        </w:rPr>
        <w:t>是指通过特殊转移支付机制，直达市县基层、直接惠企利民的资金，主要用于保就业、保基本民生、保市场主体、支持减税降费、减租降息、扩大消费和投资等。</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15.“六稳”“六保”：</w:t>
      </w:r>
      <w:r>
        <w:rPr>
          <w:rFonts w:hint="eastAsia" w:ascii="Times New Roman" w:hAnsi="Times New Roman" w:cs="仿宋_GB2312"/>
          <w:kern w:val="0"/>
          <w:sz w:val="34"/>
          <w:szCs w:val="34"/>
        </w:rPr>
        <w:t>“六稳”指稳就业、稳金融、稳外贸、稳外资、稳投资、稳预期；“六保”指保居民就业、保基本民生、保市场主体、保粮食能源安全、保产业链供应链稳定、保基层运转。</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16.三保：</w:t>
      </w:r>
      <w:r>
        <w:rPr>
          <w:rFonts w:hint="eastAsia" w:ascii="Times New Roman" w:hAnsi="Times New Roman" w:cs="仿宋_GB2312"/>
          <w:kern w:val="0"/>
          <w:sz w:val="34"/>
          <w:szCs w:val="34"/>
        </w:rPr>
        <w:t>保基本民生、保工资、保运转。</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17.两不愁三保障：</w:t>
      </w:r>
      <w:r>
        <w:rPr>
          <w:rFonts w:ascii="Times New Roman" w:hAnsi="Times New Roman" w:cs="仿宋_GB2312"/>
          <w:kern w:val="0"/>
          <w:sz w:val="34"/>
          <w:szCs w:val="34"/>
        </w:rPr>
        <w:t>“两不愁”就是稳定实现农村贫困人口不愁吃、不愁穿；“三保障”就是保障其义务教育、基本医疗和住房安全</w:t>
      </w:r>
      <w:r>
        <w:rPr>
          <w:rFonts w:hint="eastAsia" w:ascii="Times New Roman" w:hAnsi="Times New Roman" w:cs="仿宋_GB2312"/>
          <w:kern w:val="0"/>
          <w:sz w:val="34"/>
          <w:szCs w:val="34"/>
        </w:rPr>
        <w:t>。</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18.全口径四本预算：</w:t>
      </w:r>
      <w:r>
        <w:rPr>
          <w:rFonts w:hint="eastAsia" w:ascii="Times New Roman" w:hAnsi="Times New Roman" w:cs="仿宋_GB2312"/>
          <w:kern w:val="0"/>
          <w:sz w:val="34"/>
          <w:szCs w:val="34"/>
        </w:rPr>
        <w:t>指一般公共预算、政府性基金预算、国有资本经营预算、社会保险基金预算。</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19.PPP模式：</w:t>
      </w:r>
      <w:r>
        <w:rPr>
          <w:rFonts w:hint="eastAsia" w:ascii="Times New Roman" w:hAnsi="Times New Roman" w:cs="仿宋_GB2312"/>
          <w:kern w:val="0"/>
          <w:sz w:val="34"/>
          <w:szCs w:val="34"/>
        </w:rPr>
        <w:t>指政府和社会资本合作发展基础设施或者公共服务。</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cs="仿宋_GB2312"/>
          <w:kern w:val="0"/>
          <w:sz w:val="34"/>
          <w:szCs w:val="34"/>
        </w:rPr>
      </w:pPr>
      <w:r>
        <w:rPr>
          <w:rFonts w:hint="eastAsia" w:ascii="Times New Roman" w:hAnsi="Times New Roman" w:eastAsia="楷体_GB2312" w:cs="楷体_GB2312"/>
          <w:b/>
          <w:bCs/>
          <w:kern w:val="0"/>
          <w:sz w:val="34"/>
          <w:szCs w:val="34"/>
        </w:rPr>
        <w:t>20.一主三优：</w:t>
      </w:r>
      <w:r>
        <w:rPr>
          <w:rFonts w:hint="eastAsia" w:ascii="Times New Roman" w:hAnsi="Times New Roman" w:cs="仿宋_GB2312"/>
          <w:kern w:val="0"/>
          <w:sz w:val="34"/>
          <w:szCs w:val="34"/>
        </w:rPr>
        <w:t>一个首位产业即电子信息产业，三个优势产业即不锈钢、氟新材料、稀土新材料产业。</w:t>
      </w:r>
    </w:p>
    <w:p>
      <w:pPr>
        <w:pStyle w:val="10"/>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Times New Roman" w:hAnsi="Times New Roman"/>
          <w:sz w:val="34"/>
          <w:szCs w:val="34"/>
        </w:rPr>
      </w:pPr>
      <w:r>
        <w:rPr>
          <w:rFonts w:hint="eastAsia" w:ascii="Times New Roman" w:hAnsi="Times New Roman" w:eastAsia="楷体_GB2312" w:cs="楷体_GB2312"/>
          <w:b/>
          <w:bCs/>
          <w:kern w:val="0"/>
          <w:sz w:val="34"/>
          <w:szCs w:val="34"/>
        </w:rPr>
        <w:t>21.四个不摘：</w:t>
      </w:r>
      <w:r>
        <w:rPr>
          <w:rFonts w:hint="eastAsia" w:ascii="Times New Roman" w:hAnsi="Times New Roman" w:cs="仿宋_GB2312"/>
          <w:kern w:val="0"/>
          <w:sz w:val="34"/>
          <w:szCs w:val="34"/>
        </w:rPr>
        <w:t>指摘帽不摘责任、摘帽不摘政策、摘帽不摘帮扶、摘帽不摘监管。</w:t>
      </w: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rPr>
          <w:rFonts w:ascii="Times New Roman" w:hAnsi="Times New Roman"/>
        </w:rPr>
      </w:pPr>
      <w:r>
        <w:rPr>
          <w:sz w:val="24"/>
        </w:rPr>
        <mc:AlternateContent>
          <mc:Choice Requires="wps">
            <w:drawing>
              <wp:anchor distT="0" distB="0" distL="114300" distR="114300" simplePos="0" relativeHeight="251663360" behindDoc="0" locked="0" layoutInCell="1" allowOverlap="1">
                <wp:simplePos x="0" y="0"/>
                <wp:positionH relativeFrom="column">
                  <wp:posOffset>4667885</wp:posOffset>
                </wp:positionH>
                <wp:positionV relativeFrom="paragraph">
                  <wp:posOffset>768350</wp:posOffset>
                </wp:positionV>
                <wp:extent cx="1342390" cy="422910"/>
                <wp:effectExtent l="0" t="0" r="0" b="0"/>
                <wp:wrapNone/>
                <wp:docPr id="10" name="文本框 10"/>
                <wp:cNvGraphicFramePr/>
                <a:graphic xmlns:a="http://schemas.openxmlformats.org/drawingml/2006/main">
                  <a:graphicData uri="http://schemas.microsoft.com/office/word/2010/wordprocessingShape">
                    <wps:wsp>
                      <wps:cNvSpPr txBox="1"/>
                      <wps:spPr>
                        <a:xfrm>
                          <a:off x="5318125" y="9570085"/>
                          <a:ext cx="1342390" cy="422910"/>
                        </a:xfrm>
                        <a:prstGeom prst="rect">
                          <a:avLst/>
                        </a:prstGeom>
                        <a:noFill/>
                        <a:ln w="6350">
                          <a:noFill/>
                        </a:ln>
                      </wps:spPr>
                      <wps:txbx>
                        <w:txbxContent>
                          <w:p>
                            <w:pPr>
                              <w:spacing w:line="500" w:lineRule="exact"/>
                              <w:ind w:left="0" w:leftChars="0" w:firstLine="0" w:firstLineChars="0"/>
                              <w:jc w:val="left"/>
                              <w:rPr>
                                <w:rFonts w:hint="eastAsia" w:ascii="仿宋_GB2312" w:hAnsi="仿宋_GB2312" w:eastAsia="仿宋_GB2312" w:cs="仿宋_GB2312"/>
                                <w:spacing w:val="0"/>
                                <w:sz w:val="34"/>
                                <w:szCs w:val="34"/>
                                <w:lang w:val="en-US" w:eastAsia="zh-CN"/>
                              </w:rPr>
                            </w:pPr>
                          </w:p>
                        </w:txbxContent>
                      </wps:txbx>
                      <wps:bodyPr upright="1"/>
                    </wps:wsp>
                  </a:graphicData>
                </a:graphic>
              </wp:anchor>
            </w:drawing>
          </mc:Choice>
          <mc:Fallback>
            <w:pict>
              <v:shape id="_x0000_s1026" o:spid="_x0000_s1026" o:spt="202" type="#_x0000_t202" style="position:absolute;left:0pt;margin-left:367.55pt;margin-top:60.5pt;height:33.3pt;width:105.7pt;z-index:251663360;mso-width-relative:page;mso-height-relative:page;" filled="f" stroked="f" coordsize="21600,21600" o:gfxdata="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HgfctsAAAALAQAADwAAAAAAAAABACAAAAAiAAAAZHJzL2Rvd25y&#10;ZXYueG1sUEsBAhQAFAAAAAgAh07iQGeicIHCAQAAZQMAAA4AAAAAAAAAAQAgAAAAKgEAAGRycy9l&#10;Mm9Eb2MueG1sUEsFBgAAAAAGAAYAWQEAAF4FAAAAAA==&#10;">
                <v:fill on="f" focussize="0,0"/>
                <v:stroke on="f" weight="0.5pt"/>
                <v:imagedata o:title=""/>
                <o:lock v:ext="edit" aspectratio="f"/>
                <v:textbox>
                  <w:txbxContent>
                    <w:p>
                      <w:pPr>
                        <w:spacing w:line="500" w:lineRule="exact"/>
                        <w:ind w:left="0" w:leftChars="0" w:firstLine="0" w:firstLineChars="0"/>
                        <w:jc w:val="left"/>
                        <w:rPr>
                          <w:rFonts w:hint="eastAsia" w:ascii="仿宋_GB2312" w:hAnsi="仿宋_GB2312" w:eastAsia="仿宋_GB2312" w:cs="仿宋_GB2312"/>
                          <w:spacing w:val="0"/>
                          <w:sz w:val="34"/>
                          <w:szCs w:val="34"/>
                          <w:lang w:val="en-US" w:eastAsia="zh-CN"/>
                        </w:rPr>
                      </w:pP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340360</wp:posOffset>
                </wp:positionV>
                <wp:extent cx="5895975" cy="635"/>
                <wp:effectExtent l="0" t="0" r="0" b="0"/>
                <wp:wrapNone/>
                <wp:docPr id="11" name="直接连接符 11"/>
                <wp:cNvGraphicFramePr/>
                <a:graphic xmlns:a="http://schemas.openxmlformats.org/drawingml/2006/main">
                  <a:graphicData uri="http://schemas.microsoft.com/office/word/2010/wordprocessingShape">
                    <wps:wsp>
                      <wps:cNvCnPr/>
                      <wps:spPr>
                        <a:xfrm>
                          <a:off x="835660" y="9142095"/>
                          <a:ext cx="58959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26.8pt;height:0.05pt;width:464.25pt;z-index:251664384;mso-width-relative:page;mso-height-relative:page;" filled="f" stroked="t" coordsize="21600,21600" o:gfxdata="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K8pWnUAAAABwEAAA8AAAAAAAAAAQAgAAAAIgAAAGRycy9k&#10;b3ducmV2LnhtbFBLAQIUABQAAAAIAIdO4kDXqI0HBgIAAPMDAAAOAAAAAAAAAAEAIAAAACMBAABk&#10;cnMvZTJvRG9jLnhtbFBLBQYAAAAABgAGAFkBAACb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814705</wp:posOffset>
                </wp:positionV>
                <wp:extent cx="5895975" cy="635"/>
                <wp:effectExtent l="0" t="0" r="0" b="0"/>
                <wp:wrapNone/>
                <wp:docPr id="9" name="直接连接符 9"/>
                <wp:cNvGraphicFramePr/>
                <a:graphic xmlns:a="http://schemas.openxmlformats.org/drawingml/2006/main">
                  <a:graphicData uri="http://schemas.microsoft.com/office/word/2010/wordprocessingShape">
                    <wps:wsp>
                      <wps:cNvCnPr/>
                      <wps:spPr>
                        <a:xfrm>
                          <a:off x="834390" y="9616440"/>
                          <a:ext cx="58959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64.15pt;height:0.05pt;width:464.25pt;z-index:251662336;mso-width-relative:page;mso-height-relative:page;" filled="f" stroked="t" coordsize="21600,21600" o:gfxdata="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jeuI9YAAAAJAQAADwAAAAAAAAABACAAAAAiAAAAZHJzL2Rvd25y&#10;ZXYueG1sUEsBAhQAFAAAAAgAh07iQEIMXPUAAgAA8QMAAA4AAAAAAAAAAQAgAAAAJQEAAGRycy9l&#10;Mm9Eb2MueG1sUEsFBgAAAAAGAAYAWQEAAJc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336550</wp:posOffset>
                </wp:positionV>
                <wp:extent cx="5909945" cy="409575"/>
                <wp:effectExtent l="4445" t="4445" r="10160" b="5080"/>
                <wp:wrapNone/>
                <wp:docPr id="8" name="文本框 8"/>
                <wp:cNvGraphicFramePr/>
                <a:graphic xmlns:a="http://schemas.openxmlformats.org/drawingml/2006/main">
                  <a:graphicData uri="http://schemas.microsoft.com/office/word/2010/wordprocessingShape">
                    <wps:wsp>
                      <wps:cNvSpPr txBox="1"/>
                      <wps:spPr>
                        <a:xfrm>
                          <a:off x="827405" y="9138285"/>
                          <a:ext cx="5909945" cy="40957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left"/>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县十八届人大</w:t>
                            </w:r>
                            <w:r>
                              <w:rPr>
                                <w:rFonts w:hint="eastAsia" w:ascii="仿宋_GB2312" w:hAnsi="仿宋_GB2312" w:eastAsia="仿宋_GB2312" w:cs="仿宋_GB2312"/>
                                <w:sz w:val="34"/>
                                <w:szCs w:val="34"/>
                                <w:lang w:eastAsia="zh-CN"/>
                              </w:rPr>
                              <w:t>六</w:t>
                            </w:r>
                            <w:r>
                              <w:rPr>
                                <w:rFonts w:hint="eastAsia" w:ascii="仿宋_GB2312" w:hAnsi="仿宋_GB2312" w:eastAsia="仿宋_GB2312" w:cs="仿宋_GB2312"/>
                                <w:sz w:val="34"/>
                                <w:szCs w:val="34"/>
                              </w:rPr>
                              <w:t xml:space="preserve">次会议秘书处 </w:t>
                            </w:r>
                            <w:r>
                              <w:rPr>
                                <w:rFonts w:hint="eastAsia" w:ascii="仿宋_GB2312" w:hAnsi="仿宋_GB2312" w:cs="仿宋_GB2312"/>
                                <w:sz w:val="34"/>
                                <w:szCs w:val="34"/>
                              </w:rPr>
                              <w:t xml:space="preserve">        </w:t>
                            </w:r>
                            <w:r>
                              <w:rPr>
                                <w:rFonts w:hint="eastAsia" w:ascii="仿宋_GB2312" w:hAnsi="仿宋_GB2312" w:eastAsia="仿宋_GB2312" w:cs="仿宋_GB2312"/>
                                <w:sz w:val="34"/>
                                <w:szCs w:val="34"/>
                                <w:lang w:val="en-US" w:eastAsia="zh-CN"/>
                              </w:rPr>
                              <w:t xml:space="preserve"> </w:t>
                            </w:r>
                            <w:r>
                              <w:rPr>
                                <w:rFonts w:hint="default" w:ascii="Times New Roman" w:hAnsi="Times New Roman" w:eastAsia="仿宋_GB2312" w:cs="Times New Roman"/>
                                <w:sz w:val="34"/>
                                <w:szCs w:val="34"/>
                              </w:rPr>
                              <w:t xml:space="preserve"> 202</w:t>
                            </w:r>
                            <w:r>
                              <w:rPr>
                                <w:rFonts w:hint="default" w:ascii="Times New Roman" w:hAnsi="Times New Roman" w:eastAsia="仿宋_GB2312" w:cs="Times New Roman"/>
                                <w:sz w:val="34"/>
                                <w:szCs w:val="34"/>
                                <w:lang w:val="en-US" w:eastAsia="zh-CN"/>
                              </w:rPr>
                              <w:t>1</w:t>
                            </w:r>
                            <w:r>
                              <w:rPr>
                                <w:rFonts w:hint="eastAsia" w:ascii="仿宋_GB2312" w:hAnsi="仿宋_GB2312" w:eastAsia="仿宋_GB2312" w:cs="仿宋_GB2312"/>
                                <w:sz w:val="34"/>
                                <w:szCs w:val="34"/>
                              </w:rPr>
                              <w:t>年</w:t>
                            </w:r>
                            <w:r>
                              <w:rPr>
                                <w:rFonts w:hint="default" w:ascii="Times New Roman" w:hAnsi="Times New Roman" w:eastAsia="仿宋_GB2312" w:cs="Times New Roman"/>
                                <w:sz w:val="34"/>
                                <w:szCs w:val="34"/>
                                <w:lang w:val="en-US" w:eastAsia="zh-CN"/>
                              </w:rPr>
                              <w:t>3</w:t>
                            </w:r>
                            <w:r>
                              <w:rPr>
                                <w:rFonts w:hint="eastAsia" w:ascii="仿宋_GB2312" w:hAnsi="仿宋_GB2312" w:eastAsia="仿宋_GB2312" w:cs="仿宋_GB2312"/>
                                <w:sz w:val="34"/>
                                <w:szCs w:val="34"/>
                              </w:rPr>
                              <w:t>月</w:t>
                            </w:r>
                            <w:r>
                              <w:rPr>
                                <w:rFonts w:hint="eastAsia" w:ascii="Times New Roman" w:hAnsi="Times New Roman" w:cs="Times New Roman"/>
                                <w:sz w:val="34"/>
                                <w:szCs w:val="34"/>
                                <w:lang w:val="en-US" w:eastAsia="zh-CN"/>
                              </w:rPr>
                              <w:t>2</w:t>
                            </w:r>
                            <w:r>
                              <w:rPr>
                                <w:rFonts w:hint="eastAsia" w:ascii="仿宋_GB2312" w:hAnsi="仿宋_GB2312" w:eastAsia="仿宋_GB2312" w:cs="仿宋_GB2312"/>
                                <w:sz w:val="34"/>
                                <w:szCs w:val="34"/>
                              </w:rPr>
                              <w:t>日印</w:t>
                            </w:r>
                          </w:p>
                        </w:txbxContent>
                      </wps:txbx>
                      <wps:bodyPr upright="1"/>
                    </wps:wsp>
                  </a:graphicData>
                </a:graphic>
              </wp:anchor>
            </w:drawing>
          </mc:Choice>
          <mc:Fallback>
            <w:pict>
              <v:shape id="_x0000_s1026" o:spid="_x0000_s1026" o:spt="202" type="#_x0000_t202" style="position:absolute;left:0pt;margin-left:-0.05pt;margin-top:26.5pt;height:32.25pt;width:465.35pt;z-index:251661312;mso-width-relative:page;mso-height-relative:page;" fillcolor="#FFFFFF" filled="t" stroked="t" coordsize="21600,21600" o:gfxdata="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GQIC9YAAAAIAQAADwAAAAAA&#10;AAABACAAAAAiAAAAZHJzL2Rvd25yZXYueG1sUEsBAhQAFAAAAAgAh07iQML5x90VAgAAQQQAAA4A&#10;AAAAAAAAAQAgAAAAJQEAAGRycy9lMm9Eb2MueG1sUEsFBgAAAAAGAAYAWQEAAKwFAAAAAA==&#10;">
                <v:fill on="t" focussize="0,0"/>
                <v:stroke weight="0.5pt" color="#FFFFFF" joinstyle="round"/>
                <v:imagedata o:title=""/>
                <o:lock v:ext="edit" aspectratio="f"/>
                <v:textbox>
                  <w:txbxContent>
                    <w:p>
                      <w:pPr>
                        <w:jc w:val="left"/>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县十八届人大</w:t>
                      </w:r>
                      <w:r>
                        <w:rPr>
                          <w:rFonts w:hint="eastAsia" w:ascii="仿宋_GB2312" w:hAnsi="仿宋_GB2312" w:eastAsia="仿宋_GB2312" w:cs="仿宋_GB2312"/>
                          <w:sz w:val="34"/>
                          <w:szCs w:val="34"/>
                          <w:lang w:eastAsia="zh-CN"/>
                        </w:rPr>
                        <w:t>六</w:t>
                      </w:r>
                      <w:r>
                        <w:rPr>
                          <w:rFonts w:hint="eastAsia" w:ascii="仿宋_GB2312" w:hAnsi="仿宋_GB2312" w:eastAsia="仿宋_GB2312" w:cs="仿宋_GB2312"/>
                          <w:sz w:val="34"/>
                          <w:szCs w:val="34"/>
                        </w:rPr>
                        <w:t xml:space="preserve">次会议秘书处 </w:t>
                      </w:r>
                      <w:r>
                        <w:rPr>
                          <w:rFonts w:hint="eastAsia" w:ascii="仿宋_GB2312" w:hAnsi="仿宋_GB2312" w:cs="仿宋_GB2312"/>
                          <w:sz w:val="34"/>
                          <w:szCs w:val="34"/>
                        </w:rPr>
                        <w:t xml:space="preserve">        </w:t>
                      </w:r>
                      <w:r>
                        <w:rPr>
                          <w:rFonts w:hint="eastAsia" w:ascii="仿宋_GB2312" w:hAnsi="仿宋_GB2312" w:eastAsia="仿宋_GB2312" w:cs="仿宋_GB2312"/>
                          <w:sz w:val="34"/>
                          <w:szCs w:val="34"/>
                          <w:lang w:val="en-US" w:eastAsia="zh-CN"/>
                        </w:rPr>
                        <w:t xml:space="preserve"> </w:t>
                      </w:r>
                      <w:r>
                        <w:rPr>
                          <w:rFonts w:hint="default" w:ascii="Times New Roman" w:hAnsi="Times New Roman" w:eastAsia="仿宋_GB2312" w:cs="Times New Roman"/>
                          <w:sz w:val="34"/>
                          <w:szCs w:val="34"/>
                        </w:rPr>
                        <w:t xml:space="preserve"> 202</w:t>
                      </w:r>
                      <w:r>
                        <w:rPr>
                          <w:rFonts w:hint="default" w:ascii="Times New Roman" w:hAnsi="Times New Roman" w:eastAsia="仿宋_GB2312" w:cs="Times New Roman"/>
                          <w:sz w:val="34"/>
                          <w:szCs w:val="34"/>
                          <w:lang w:val="en-US" w:eastAsia="zh-CN"/>
                        </w:rPr>
                        <w:t>1</w:t>
                      </w:r>
                      <w:r>
                        <w:rPr>
                          <w:rFonts w:hint="eastAsia" w:ascii="仿宋_GB2312" w:hAnsi="仿宋_GB2312" w:eastAsia="仿宋_GB2312" w:cs="仿宋_GB2312"/>
                          <w:sz w:val="34"/>
                          <w:szCs w:val="34"/>
                        </w:rPr>
                        <w:t>年</w:t>
                      </w:r>
                      <w:r>
                        <w:rPr>
                          <w:rFonts w:hint="default" w:ascii="Times New Roman" w:hAnsi="Times New Roman" w:eastAsia="仿宋_GB2312" w:cs="Times New Roman"/>
                          <w:sz w:val="34"/>
                          <w:szCs w:val="34"/>
                          <w:lang w:val="en-US" w:eastAsia="zh-CN"/>
                        </w:rPr>
                        <w:t>3</w:t>
                      </w:r>
                      <w:r>
                        <w:rPr>
                          <w:rFonts w:hint="eastAsia" w:ascii="仿宋_GB2312" w:hAnsi="仿宋_GB2312" w:eastAsia="仿宋_GB2312" w:cs="仿宋_GB2312"/>
                          <w:sz w:val="34"/>
                          <w:szCs w:val="34"/>
                        </w:rPr>
                        <w:t>月</w:t>
                      </w:r>
                      <w:r>
                        <w:rPr>
                          <w:rFonts w:hint="eastAsia" w:ascii="Times New Roman" w:hAnsi="Times New Roman" w:cs="Times New Roman"/>
                          <w:sz w:val="34"/>
                          <w:szCs w:val="34"/>
                          <w:lang w:val="en-US" w:eastAsia="zh-CN"/>
                        </w:rPr>
                        <w:t>2</w:t>
                      </w:r>
                      <w:r>
                        <w:rPr>
                          <w:rFonts w:hint="eastAsia" w:ascii="仿宋_GB2312" w:hAnsi="仿宋_GB2312" w:eastAsia="仿宋_GB2312" w:cs="仿宋_GB2312"/>
                          <w:sz w:val="34"/>
                          <w:szCs w:val="34"/>
                        </w:rPr>
                        <w:t>日印</w:t>
                      </w:r>
                    </w:p>
                  </w:txbxContent>
                </v:textbox>
              </v:shape>
            </w:pict>
          </mc:Fallback>
        </mc:AlternateContent>
      </w:r>
    </w:p>
    <w:sectPr>
      <w:footerReference r:id="rId3" w:type="default"/>
      <w:pgSz w:w="11906" w:h="16838"/>
      <w:pgMar w:top="1587" w:right="1304" w:bottom="1587"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default" w:ascii="Times New Roman" w:hAnsi="Times New Roman" w:cs="Times New Roman"/>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- 27 -</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- 27 -</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WZiZWI5YzI4M2ZjYjM5NzgyN2Y1NzIzZTUyNmIifQ=="/>
  </w:docVars>
  <w:rsids>
    <w:rsidRoot w:val="1E064F81"/>
    <w:rsid w:val="023201DA"/>
    <w:rsid w:val="06CE39D2"/>
    <w:rsid w:val="09D6780E"/>
    <w:rsid w:val="0A7762FB"/>
    <w:rsid w:val="0BDE113D"/>
    <w:rsid w:val="147B1A7B"/>
    <w:rsid w:val="15F71F31"/>
    <w:rsid w:val="1A6265B3"/>
    <w:rsid w:val="1E064F81"/>
    <w:rsid w:val="21945EDE"/>
    <w:rsid w:val="24E90210"/>
    <w:rsid w:val="261E74B1"/>
    <w:rsid w:val="2A607CAD"/>
    <w:rsid w:val="30C36F47"/>
    <w:rsid w:val="310E2BF2"/>
    <w:rsid w:val="3EF964B1"/>
    <w:rsid w:val="44CC6046"/>
    <w:rsid w:val="49860259"/>
    <w:rsid w:val="4A9C6E1F"/>
    <w:rsid w:val="510D2E90"/>
    <w:rsid w:val="521F2C4E"/>
    <w:rsid w:val="54B10BF8"/>
    <w:rsid w:val="587F730A"/>
    <w:rsid w:val="59E068D1"/>
    <w:rsid w:val="5E303913"/>
    <w:rsid w:val="604428AA"/>
    <w:rsid w:val="667A6825"/>
    <w:rsid w:val="66E32E2D"/>
    <w:rsid w:val="66F82349"/>
    <w:rsid w:val="6C844C92"/>
    <w:rsid w:val="6D2311BA"/>
    <w:rsid w:val="79047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Indent"/>
    <w:basedOn w:val="1"/>
    <w:next w:val="3"/>
    <w:qFormat/>
    <w:uiPriority w:val="0"/>
    <w:pPr>
      <w:ind w:firstLine="640"/>
    </w:pPr>
    <w:rPr>
      <w:rFonts w:ascii="宋体" w:hAnsi="宋体"/>
      <w:szCs w:val="32"/>
    </w:rPr>
  </w:style>
  <w:style w:type="paragraph" w:styleId="5">
    <w:name w:val="Plain Text"/>
    <w:basedOn w:val="1"/>
    <w:qFormat/>
    <w:uiPriority w:val="0"/>
    <w:pPr>
      <w:spacing w:line="480" w:lineRule="exact"/>
      <w:ind w:firstLine="420"/>
    </w:pPr>
    <w:rPr>
      <w:rFonts w:eastAsia="宋体"/>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公文"/>
    <w:basedOn w:val="4"/>
    <w:qFormat/>
    <w:uiPriority w:val="0"/>
    <w:pPr>
      <w:spacing w:line="560" w:lineRule="exac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10487</Words>
  <Characters>11585</Characters>
  <Lines>0</Lines>
  <Paragraphs>0</Paragraphs>
  <TotalTime>17</TotalTime>
  <ScaleCrop>false</ScaleCrop>
  <LinksUpToDate>false</LinksUpToDate>
  <CharactersWithSpaces>11588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2021-02-07T00:40:00Z</dcterms:created>
  <dc:creator>Administrator</dc:creator>
  <cp:lastModifiedBy>Administrator</cp:lastModifiedBy>
  <cp:lastPrinted>2021-02-25T04:00:00Z</cp:lastPrinted>
  <dcterms:modified xsi:type="dcterms:W3CDTF">2024-05-07T02:26:25Z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50D71A685B214A878866B8515EB49DA5_12</vt:lpwstr>
  </property>
</Properties>
</file>