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二〇二一年全南县国有资本经营预算支出安排情况表说明</w:t>
      </w:r>
    </w:p>
    <w:p>
      <w:pPr>
        <w:rPr>
          <w:rFonts w:hint="eastAsia"/>
          <w:lang w:val="en-US" w:eastAsia="zh-CN"/>
        </w:rPr>
      </w:pP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按照《</w:t>
      </w:r>
      <w:r>
        <w:rPr>
          <w:rFonts w:hint="eastAsia" w:ascii="仿宋_GB2312" w:eastAsia="仿宋_GB2312"/>
          <w:sz w:val="32"/>
          <w:szCs w:val="32"/>
          <w:lang w:eastAsia="zh-CN"/>
        </w:rPr>
        <w:t>中华人民共和国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预算法》以及国有资本经营预算有关规定，根据“统筹兼顾，适度集中”、“相对独立，互相衔接”、“以收定支，突出重点”等原则，20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eastAsia="zh-CN"/>
        </w:rPr>
        <w:t>全南县</w:t>
      </w:r>
      <w:r>
        <w:rPr>
          <w:rFonts w:hint="eastAsia" w:ascii="仿宋_GB2312" w:eastAsia="仿宋_GB2312"/>
          <w:sz w:val="32"/>
          <w:szCs w:val="32"/>
        </w:rPr>
        <w:t>国有资本经营预算支出安排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107.38</w:t>
      </w:r>
      <w:r>
        <w:rPr>
          <w:rFonts w:hint="eastAsia" w:ascii="仿宋_GB2312" w:eastAsia="仿宋_GB2312"/>
          <w:sz w:val="32"/>
          <w:szCs w:val="32"/>
        </w:rPr>
        <w:t>万元，主要用于解决国有企业历史遗留问题。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4D0DD3"/>
    <w:rsid w:val="1F8C261F"/>
    <w:rsid w:val="36731730"/>
    <w:rsid w:val="3A3E703D"/>
    <w:rsid w:val="3C86698E"/>
    <w:rsid w:val="451730BA"/>
    <w:rsid w:val="4893735B"/>
    <w:rsid w:val="4A4E1776"/>
    <w:rsid w:val="670E58CC"/>
    <w:rsid w:val="79E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2023-10-20T01:04:22Z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