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2" w:name="_GoBack"/>
      <w:bookmarkEnd w:id="2"/>
    </w:p>
    <w:p>
      <w:pPr>
        <w:spacing w:line="360" w:lineRule="auto"/>
        <w:rPr>
          <w:rFonts w:hint="eastAsia" w:ascii="宋体" w:hAnsi="宋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color w:val="FF0000"/>
          <w:w w:val="50"/>
          <w:kern w:val="10"/>
          <w:sz w:val="84"/>
          <w:szCs w:val="84"/>
        </w:rPr>
        <w:pict>
          <v:shape id="_x0000_i1025" o:spt="136" type="#_x0000_t136" style="height:81.75pt;width:418.6pt;" fillcolor="#FF0000" filled="t" stroked="t" coordsize="21600,21600" adj="10800">
            <v:path/>
            <v:fill on="t" color2="#FFFFFF" focussize="0,0"/>
            <v:stroke weight="1.5pt" color="#FF0000"/>
            <v:imagedata o:title=""/>
            <o:lock v:ext="edit" aspectratio="f"/>
            <v:textpath on="t" fitshape="t" fitpath="t" trim="t" xscale="f" string="全南县减灾委员会办公室" style="font-family:方正小标宋简体;font-size:36pt;v-text-align:center;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全减灾办字〔20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highlight w:val="none"/>
          <w:u w:val="thick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highlight w:val="none"/>
          <w:u w:val="thick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highlight w:val="none"/>
          <w:u w:val="thick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highlight w:val="none"/>
          <w:u w:val="thick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印发《全南县</w:t>
      </w: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5.12</w:t>
      </w: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全国防灾减灾</w:t>
      </w: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宣传周活动方案》</w:t>
      </w: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各乡（镇、场、公司），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城市社区管委会，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县减灾委各成员单位：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现将《全南县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5.12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全国防灾减灾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宣传周活动方案》印发给你们，请认真组织实施。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2022年4月29日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pBdr>
          <w:top w:val="single" w:color="auto" w:sz="4" w:space="1"/>
          <w:left w:val="none" w:color="auto" w:sz="0" w:space="4"/>
          <w:bottom w:val="single" w:color="auto" w:sz="4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全南县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应急管理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局办公室  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29日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印发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全南县</w:t>
      </w: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5.12</w:t>
      </w: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全国防灾减灾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宣传周活动方案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今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5月12日是我国第14个全国防灾减灾日，主题是“减轻灾害风险守护美好家园”，5月7日至13日为防灾减灾宣传周。为深入贯彻习近平总书记关于防灾减灾救灾工作重要论述，落实《江西省减灾委员会办公室关于做好2022年全国防灾减灾日有关工作的通知》(赣减委办〔2022〕8号)要求，切实做好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全国防灾减灾日和防灾减灾宣传周各项工作，特制定本方案如下: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5月7日至13日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减轻灾害风险守护美好家园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三、活动内容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31" w:firstLineChars="200"/>
        <w:jc w:val="both"/>
        <w:textAlignment w:val="auto"/>
        <w:rPr>
          <w:rFonts w:hint="eastAsia" w:ascii="仿宋_GB2312" w:hAnsi="仿宋_GB2312" w:eastAsia="仿宋_GB2312" w:cs="仿宋_GB2312"/>
          <w:color w:val="0000FF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pacing w:val="-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pacing w:val="-3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加强</w:t>
      </w:r>
      <w:r>
        <w:rPr>
          <w:rFonts w:ascii="楷体_GB2312" w:hAnsi="楷体_GB2312" w:eastAsia="楷体_GB2312" w:cs="楷体_GB2312"/>
          <w:b/>
          <w:bCs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防灾减灾知识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pacing w:val="-3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宣传</w:t>
      </w:r>
      <w:r>
        <w:rPr>
          <w:rFonts w:ascii="楷体_GB2312" w:hAnsi="楷体_GB2312" w:eastAsia="楷体_GB2312" w:cs="楷体_GB2312"/>
          <w:b/>
          <w:bCs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宣传周期间，各乡（镇）、各相关部门根据部门职责和行业特点，围绕主题，通过张贴海报、放置展板、分发宣传册等多种形式，进一步面向社会公众普及洪涝灾害、台风灾害、地震灾害、风雹灾害、地质灾害以及消防安全、交通安全、卫生防疫等各类灾害知识和防范应对基本技能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〔各乡（镇）、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减灾委有关成员单位按职责负责落实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line="600" w:lineRule="exact"/>
        <w:ind w:right="244" w:firstLine="631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pacing w:val="-3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pacing w:val="-3"/>
          <w:lang w:eastAsia="zh-CN"/>
          <w14:textFill>
            <w14:solidFill>
              <w14:schemeClr w14:val="tx1"/>
            </w14:solidFill>
          </w14:textFill>
        </w:rPr>
        <w:t>创新</w:t>
      </w:r>
      <w:r>
        <w:rPr>
          <w:rFonts w:ascii="楷体_GB2312" w:hAnsi="楷体_GB2312" w:eastAsia="楷体_GB2312" w:cs="楷体_GB2312"/>
          <w:b/>
          <w:bCs/>
          <w:color w:val="000000" w:themeColor="text1"/>
          <w:spacing w:val="-3"/>
          <w14:textFill>
            <w14:solidFill>
              <w14:schemeClr w14:val="tx1"/>
            </w14:solidFill>
          </w14:textFill>
        </w:rPr>
        <w:t>防灾减灾宣传教育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pacing w:val="-3"/>
          <w:lang w:eastAsia="zh-CN"/>
          <w14:textFill>
            <w14:solidFill>
              <w14:schemeClr w14:val="tx1"/>
            </w14:solidFill>
          </w14:textFill>
        </w:rPr>
        <w:t>方式</w:t>
      </w:r>
      <w:r>
        <w:rPr>
          <w:rFonts w:ascii="楷体_GB2312" w:hAnsi="楷体_GB2312" w:eastAsia="楷体_GB2312" w:cs="楷体_GB2312"/>
          <w:b/>
          <w:bCs/>
          <w:color w:val="000000" w:themeColor="text1"/>
          <w:spacing w:val="-3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14:textFill>
            <w14:solidFill>
              <w14:schemeClr w14:val="tx1"/>
            </w14:solidFill>
          </w14:textFill>
        </w:rPr>
        <w:t>要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充分运用消防馆、防震减灾科普教育基地等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14:textFill>
            <w14:solidFill>
              <w14:schemeClr w14:val="tx1"/>
            </w14:solidFill>
          </w14:textFill>
        </w:rPr>
        <w:t>宣传阵地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14:textFill>
            <w14:solidFill>
              <w14:schemeClr w14:val="tx1"/>
            </w14:solidFill>
          </w14:textFill>
        </w:rPr>
        <w:t>多形式开展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14:textFill>
            <w14:solidFill>
              <w14:schemeClr w14:val="tx1"/>
            </w14:solidFill>
          </w14:textFill>
        </w:rPr>
        <w:t>防灾减灾体验以及科普宣传和展览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〔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县消防救援大队、县</w:t>
      </w:r>
      <w:r>
        <w:rPr>
          <w:rFonts w:hint="eastAsia" w:cs="仿宋_GB2312"/>
          <w:b/>
          <w:bCs/>
          <w:i w:val="0"/>
          <w:iCs w:val="0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应急管理局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负责落实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31" w:firstLineChars="200"/>
        <w:jc w:val="both"/>
        <w:textAlignment w:val="auto"/>
        <w:rPr>
          <w:color w:val="0000FF"/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pacing w:val="-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pacing w:val="-3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组织参加网络防灾减灾知识答题。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各乡（镇）、各减灾委成员单位要广泛发动与组织群众、学</w:t>
      </w:r>
      <w:r>
        <w:rPr>
          <w:rFonts w:hint="eastAsia" w:ascii="仿宋_GB2312" w:hAnsi="仿宋_GB2312" w:eastAsia="仿宋_GB2312" w:cs="仿宋_GB2312"/>
          <w:color w:val="000000" w:themeColor="text1"/>
          <w:spacing w:val="-17"/>
          <w:sz w:val="32"/>
          <w:szCs w:val="32"/>
          <w14:textFill>
            <w14:solidFill>
              <w14:schemeClr w14:val="tx1"/>
            </w14:solidFill>
          </w14:textFill>
        </w:rPr>
        <w:t>生、职工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通过政府网站、全南微新闻、应急管理局微信公众号等平台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积极</w:t>
      </w:r>
      <w:r>
        <w:rPr>
          <w:rFonts w:hint="eastAsia" w:ascii="仿宋_GB2312" w:hAnsi="仿宋_GB2312" w:eastAsia="仿宋_GB2312" w:cs="仿宋_GB2312"/>
          <w:color w:val="000000" w:themeColor="text1"/>
          <w:spacing w:val="-17"/>
          <w:sz w:val="32"/>
          <w:szCs w:val="32"/>
          <w14:textFill>
            <w14:solidFill>
              <w14:schemeClr w14:val="tx1"/>
            </w14:solidFill>
          </w14:textFill>
        </w:rPr>
        <w:t>参加由省减灾办开展的</w:t>
      </w:r>
      <w:r>
        <w:rPr>
          <w:rFonts w:hint="eastAsia" w:ascii="仿宋_GB2312" w:hAnsi="仿宋_GB2312" w:eastAsia="仿宋_GB2312" w:cs="仿宋_GB2312"/>
          <w:color w:val="000000" w:themeColor="text1"/>
          <w:spacing w:val="-113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2022</w:t>
      </w:r>
      <w:bookmarkStart w:id="0" w:name="三、预防为主，源头管控，强化风险排查和隐患治理"/>
      <w:bookmarkEnd w:id="0"/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年网络防灾减灾知识答题活动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，答题时间为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5月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日至1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〔各乡（镇）、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县减灾委成员单位组织动员广大干部群众参与网络竞赛活动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51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pacing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ascii="楷体_GB2312" w:hAnsi="楷体_GB2312" w:eastAsia="楷体_GB2312" w:cs="楷体_GB2312"/>
          <w:b/>
          <w:bCs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开辟“5</w:t>
      </w:r>
      <w:r>
        <w:rPr>
          <w:rFonts w:ascii="楷体_GB2312" w:hAnsi="楷体_GB2312" w:eastAsia="楷体_GB2312" w:cs="楷体_GB2312"/>
          <w:b/>
          <w:bCs/>
          <w:i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·</w:t>
      </w:r>
      <w:r>
        <w:rPr>
          <w:rFonts w:ascii="楷体_GB2312" w:hAnsi="楷体_GB2312" w:eastAsia="楷体_GB2312" w:cs="楷体_GB2312"/>
          <w:b/>
          <w:bCs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12”宣传专栏。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各通信运营商向公众发布防灾减灾日公益短信，短信内容由县减灾办提供。在视频媒体播放防灾减灾公益滚动信息，在《天气预报》节目中播报防灾减灾宣传知识，内容由县减灾办提供。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〔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县委宣传部、县气象局、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县融媒体中心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、县应急管理局负责落实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</w:p>
    <w:p>
      <w:pPr>
        <w:pStyle w:val="8"/>
        <w:keepNext w:val="0"/>
        <w:keepLines w:val="0"/>
        <w:pageBreakBefore w:val="0"/>
        <w:widowControl w:val="0"/>
        <w:tabs>
          <w:tab w:val="left" w:pos="6456"/>
        </w:tabs>
        <w:kinsoku/>
        <w:wordWrap/>
        <w:overflowPunct/>
        <w:topLinePunct w:val="0"/>
        <w:autoSpaceDE/>
        <w:autoSpaceDN/>
        <w:bidi w:val="0"/>
        <w:adjustRightInd/>
        <w:spacing w:before="0" w:line="600" w:lineRule="exact"/>
        <w:ind w:right="244"/>
        <w:jc w:val="both"/>
        <w:textAlignment w:val="auto"/>
        <w:rPr>
          <w:rFonts w:hint="eastAsia" w:ascii="仿宋_GB2312" w:hAnsi="仿宋_GB2312" w:eastAsia="仿宋_GB2312" w:cs="仿宋_GB2312"/>
          <w:color w:val="0000FF"/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pacing w:val="-2"/>
          <w:w w:val="95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pacing w:val="-3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开展防灾减灾知识“五进”活动。</w:t>
      </w:r>
      <w:r>
        <w:rPr>
          <w:rFonts w:hint="eastAsia"/>
          <w:color w:val="000000" w:themeColor="text1"/>
          <w:spacing w:val="-3"/>
          <w:lang w:eastAsia="zh-CN"/>
          <w14:textFill>
            <w14:solidFill>
              <w14:schemeClr w14:val="tx1"/>
            </w14:solidFill>
          </w14:textFill>
        </w:rPr>
        <w:t>各乡（镇）、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lang w:eastAsia="zh-CN"/>
          <w14:textFill>
            <w14:solidFill>
              <w14:schemeClr w14:val="tx1"/>
            </w14:solidFill>
          </w14:textFill>
        </w:rPr>
        <w:t>各有关部门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14:textFill>
            <w14:solidFill>
              <w14:schemeClr w14:val="tx1"/>
            </w14:solidFill>
          </w14:textFill>
        </w:rPr>
        <w:t>要因地制宜，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开展防灾减灾知识进企业、进农村、进社区、进学校、进家庭</w:t>
      </w:r>
      <w:r>
        <w:rPr>
          <w:rFonts w:hint="eastAsia" w:cs="仿宋_GB2312"/>
          <w:color w:val="000000" w:themeColor="text1"/>
          <w:w w:val="99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14:textFill>
            <w14:solidFill>
              <w14:schemeClr w14:val="tx1"/>
            </w14:solidFill>
          </w14:textFill>
        </w:rPr>
        <w:t>通过展览、演讲、发放科普读物等形式，广泛开展防灾减灾科普宣教。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〔各乡（镇）、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减灾委有关成员单位按职责负责落实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31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pacing w:val="-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开展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防灾减灾宣传咨询活动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5月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日，在县文化广场举行大型防灾减灾宣传活动。通过举办防灾减灾知识挂图展览、现场解答咨询和发放宣传手册，联合有关公益救援组织展示防灾减灾救灾装备。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〔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县应急管理局、县消防救援大队、县民政局、县公安局、县住建局、县工信局、县教科体局、县自然资源局、县生态环境局、县交通运输局、县农业农村局、县水利局、县林业局、县气象局、县卫健委、县文广新旅局、县红十字会、县供电公司、县森林消防大队、县蓝天救援大队参加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631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FF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pacing w:val="-3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7.开展风险隐患排查治理。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防灾减灾宣传周期间，结合我县安全生产风险隐患大排查大整治行动，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组织开展全面、系统的自然灾害风险隐患排查，重点做好社区、学校、医院、敬老院、福利院、建筑工地、城市地下管网等人员密集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场所和重要设施的隐患排查，对存在的问题提出整改措施并进行集中整治。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〔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县教科体局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、县公安局、县民政局、县自然资源局、县住建局、县交通</w:t>
      </w:r>
      <w:r>
        <w:rPr>
          <w:rFonts w:hint="eastAsia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运输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局、县卫健委、县城管局、县消防救援大队按职责分别落实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</w:p>
    <w:p>
      <w:pPr>
        <w:pStyle w:val="8"/>
        <w:keepNext w:val="0"/>
        <w:keepLines w:val="0"/>
        <w:pageBreakBefore w:val="0"/>
        <w:widowControl w:val="0"/>
        <w:tabs>
          <w:tab w:val="left" w:pos="3276"/>
        </w:tabs>
        <w:kinsoku/>
        <w:wordWrap/>
        <w:overflowPunct/>
        <w:topLinePunct w:val="0"/>
        <w:autoSpaceDE/>
        <w:autoSpaceDN/>
        <w:bidi w:val="0"/>
        <w:adjustRightInd/>
        <w:spacing w:before="0" w:line="600" w:lineRule="exact"/>
        <w:ind w:right="113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pacing w:val="-4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pacing w:val="-3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.开展基层应急管理体系和能力建设对标检查。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>积</w:t>
      </w:r>
      <w:r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极落实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县</w:t>
      </w:r>
      <w:r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两办《关于加强基层应急管理体系和能力建设的意见》要求，防灾减灾宣传周期间县</w:t>
      </w:r>
      <w:r>
        <w:rPr>
          <w:rFonts w:hint="eastAsia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应急管理局</w:t>
      </w:r>
      <w:r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、各乡（镇）</w:t>
      </w:r>
      <w:bookmarkStart w:id="1" w:name="五、注重实战，开展演练，提高应急预案的实操性"/>
      <w:bookmarkEnd w:id="1"/>
      <w:r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和行政村</w:t>
      </w:r>
      <w:r>
        <w:rPr>
          <w:color w:val="000000" w:themeColor="text1"/>
          <w:spacing w:val="-14"/>
          <w14:textFill>
            <w14:solidFill>
              <w14:schemeClr w14:val="tx1"/>
            </w14:solidFill>
          </w14:textFill>
        </w:rPr>
        <w:t>（社区）要对照乡（镇）实现“六有”、行政村（社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区）实现“三有”标准，开展一次基层应急管理体系和能力建设</w:t>
      </w:r>
      <w:r>
        <w:rPr>
          <w:color w:val="000000" w:themeColor="text1"/>
          <w:spacing w:val="-17"/>
          <w14:textFill>
            <w14:solidFill>
              <w14:schemeClr w14:val="tx1"/>
            </w14:solidFill>
          </w14:textFill>
        </w:rPr>
        <w:t>对标检查，找准差距，补齐短板，确保</w:t>
      </w:r>
      <w:r>
        <w:rPr>
          <w:color w:val="000000" w:themeColor="text1"/>
          <w:spacing w:val="-93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2022</w:t>
      </w:r>
      <w:r>
        <w:rPr>
          <w:rFonts w:ascii="仿宋_GB2312" w:hAnsi="仿宋_GB2312" w:eastAsia="仿宋_GB2312" w:cs="仿宋_GB2312"/>
          <w:color w:val="000000" w:themeColor="text1"/>
          <w:spacing w:val="-88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年上半年按照“六有”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>和“三有”标准基本健全基层应急管理体系。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-4"/>
          <w14:textFill>
            <w14:solidFill>
              <w14:schemeClr w14:val="tx1"/>
            </w14:solidFill>
          </w14:textFill>
        </w:rPr>
        <w:t>〔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-4"/>
          <w:lang w:eastAsia="zh-CN"/>
          <w14:textFill>
            <w14:solidFill>
              <w14:schemeClr w14:val="tx1"/>
            </w14:solidFill>
          </w14:textFill>
        </w:rPr>
        <w:t>各乡（镇）、城市社区管委会、县应急管理局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按职责分别落实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-4"/>
          <w14:textFill>
            <w14:solidFill>
              <w14:schemeClr w14:val="tx1"/>
            </w14:solidFill>
          </w14:textFill>
        </w:rPr>
        <w:t>〕</w:t>
      </w:r>
    </w:p>
    <w:p>
      <w:pPr>
        <w:pStyle w:val="8"/>
        <w:keepNext w:val="0"/>
        <w:keepLines w:val="0"/>
        <w:pageBreakBefore w:val="0"/>
        <w:widowControl w:val="0"/>
        <w:tabs>
          <w:tab w:val="left" w:pos="3276"/>
        </w:tabs>
        <w:kinsoku/>
        <w:wordWrap/>
        <w:overflowPunct/>
        <w:topLinePunct w:val="0"/>
        <w:autoSpaceDE/>
        <w:autoSpaceDN/>
        <w:bidi w:val="0"/>
        <w:adjustRightInd/>
        <w:spacing w:before="0" w:line="600" w:lineRule="exact"/>
        <w:ind w:right="113"/>
        <w:jc w:val="both"/>
        <w:textAlignment w:val="auto"/>
        <w:rPr>
          <w:color w:val="0000FF"/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pacing w:val="-4"/>
          <w:lang w:val="en-US" w:eastAsia="zh-CN"/>
          <w14:textFill>
            <w14:solidFill>
              <w14:schemeClr w14:val="tx1"/>
            </w14:solidFill>
          </w14:textFill>
        </w:rPr>
        <w:t>9.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pacing w:val="-4"/>
          <w:lang w:eastAsia="zh-CN"/>
          <w14:textFill>
            <w14:solidFill>
              <w14:schemeClr w14:val="tx1"/>
            </w14:solidFill>
          </w14:textFill>
        </w:rPr>
        <w:t>推动</w:t>
      </w:r>
      <w:r>
        <w:rPr>
          <w:rFonts w:ascii="楷体_GB2312" w:hAnsi="楷体_GB2312" w:eastAsia="楷体_GB2312" w:cs="楷体_GB2312"/>
          <w:b/>
          <w:bCs/>
          <w:color w:val="000000" w:themeColor="text1"/>
          <w:spacing w:val="-4"/>
          <w14:textFill>
            <w14:solidFill>
              <w14:schemeClr w14:val="tx1"/>
            </w14:solidFill>
          </w14:textFill>
        </w:rPr>
        <w:t>党建与应急管理工作的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pacing w:val="-4"/>
          <w:lang w:eastAsia="zh-CN"/>
          <w14:textFill>
            <w14:solidFill>
              <w14:schemeClr w14:val="tx1"/>
            </w14:solidFill>
          </w14:textFill>
        </w:rPr>
        <w:t>融合</w:t>
      </w:r>
      <w:r>
        <w:rPr>
          <w:rFonts w:ascii="楷体_GB2312" w:hAnsi="楷体_GB2312" w:eastAsia="楷体_GB2312" w:cs="楷体_GB2312"/>
          <w:b/>
          <w:bCs/>
          <w:color w:val="000000" w:themeColor="text1"/>
          <w:spacing w:val="-4"/>
          <w14:textFill>
            <w14:solidFill>
              <w14:schemeClr w14:val="tx1"/>
            </w14:solidFill>
          </w14:textFill>
        </w:rPr>
        <w:t>。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>推广应用“</w:t>
      </w:r>
      <w:r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党建+应急管理”系统，发动党员积极参与自然灾害预警预报、转移避险、救灾救助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和科普宣教等工作，充分发挥基层党组织和广大党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>员在应急管理工作中战斗堡垒和先锋模范作用。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-4"/>
          <w14:textFill>
            <w14:solidFill>
              <w14:schemeClr w14:val="tx1"/>
            </w14:solidFill>
          </w14:textFill>
        </w:rPr>
        <w:t>〔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-4"/>
          <w:lang w:eastAsia="zh-CN"/>
          <w14:textFill>
            <w14:solidFill>
              <w14:schemeClr w14:val="tx1"/>
            </w14:solidFill>
          </w14:textFill>
        </w:rPr>
        <w:t>县应急管理局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按职责分别落实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-4"/>
          <w14:textFill>
            <w14:solidFill>
              <w14:schemeClr w14:val="tx1"/>
            </w14:solidFill>
          </w14:textFill>
        </w:rPr>
        <w:t>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75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pacing w:val="-9"/>
          <w:w w:val="95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加强物资储备。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建立健全应急物资保障部门联动和社会参与机制，推行应急物资实物储备、企业代储、社会储备等多种方式，努力满足可能发生灾害事故的峰值需求。鼓励多灾易灾乡镇建立救灾物资储备点，实现应急物资靠前部署、下沉部署。支持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、村(社区)与邻近超市、企业等合作签订应急物资储备协议。鼓励引导企事业单位和居民家庭储备基本应急物资和救生避险装备，推广使用家庭应急包。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〔乡（镇）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减灾委有关成员单位按职责负责落实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</w:p>
    <w:p>
      <w:pPr>
        <w:pStyle w:val="8"/>
        <w:keepNext w:val="0"/>
        <w:keepLines w:val="0"/>
        <w:pageBreakBefore w:val="0"/>
        <w:widowControl w:val="0"/>
        <w:tabs>
          <w:tab w:val="left" w:pos="5496"/>
        </w:tabs>
        <w:kinsoku/>
        <w:wordWrap/>
        <w:overflowPunct/>
        <w:topLinePunct w:val="0"/>
        <w:autoSpaceDE/>
        <w:autoSpaceDN/>
        <w:bidi w:val="0"/>
        <w:adjustRightInd/>
        <w:spacing w:before="0" w:line="600" w:lineRule="exact"/>
        <w:ind w:right="262"/>
        <w:jc w:val="both"/>
        <w:textAlignment w:val="auto"/>
        <w:rPr>
          <w:rFonts w:hint="eastAsia" w:eastAsia="仿宋_GB2312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pacing w:val="-3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11.修订完善各类应急预案。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各乡（镇）、</w:t>
      </w:r>
      <w:r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各有关部门要进一步修订完善本地区、本行业应急预案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要针对水旱灾害、地质灾 害、强对流天气等灾害，因地制宜组织开展包含灾害事故预警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应急指挥、人员疏散和搜救、群众生活救助、物资调运、社会力量参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与等内容的演练活动</w:t>
      </w:r>
      <w:r>
        <w:rPr>
          <w:rFonts w:hint="eastAsia"/>
          <w:color w:val="000000" w:themeColor="text1"/>
          <w:spacing w:val="-3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b/>
          <w:bCs/>
          <w:color w:val="000000" w:themeColor="text1"/>
          <w:spacing w:val="-3"/>
          <w:lang w:eastAsia="zh-CN"/>
          <w14:textFill>
            <w14:solidFill>
              <w14:schemeClr w14:val="tx1"/>
            </w14:solidFill>
          </w14:textFill>
        </w:rPr>
        <w:t>〔各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乡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b/>
          <w:bCs/>
          <w:color w:val="000000" w:themeColor="text1"/>
          <w:spacing w:val="-3"/>
          <w:lang w:eastAsia="zh-CN"/>
          <w14:textFill>
            <w14:solidFill>
              <w14:schemeClr w14:val="tx1"/>
            </w14:solidFill>
          </w14:textFill>
        </w:rPr>
        <w:t>县减灾委有关成员单位按职责负责落实〕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12.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20"/>
          <w:lang w:val="zh-CN"/>
          <w14:textFill>
            <w14:solidFill>
              <w14:schemeClr w14:val="tx1"/>
            </w14:solidFill>
          </w14:textFill>
        </w:rPr>
        <w:t>开展大型防灾减灾演练活动。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针对当前汛期特点，组织一次防汛抢险应急演练。全县中小学校广泛开展防灾减灾主题教育活动，各个学校要组织开展防灾减灾应急疏散演练活动，集中开展防溺水安全教育，预防和杜绝溺水事故的发生。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〔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县应急管理局、县水利局、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县教科体局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负责落实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请县减灾委各成员单位高度重视，结合本地本单位实际，制定周详的活动方案，认真开展全国防灾减灾日宣传周各项活动，及时将活动期间的特色亮点活动及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级以上媒体相关报道推送至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减灾办。活动开展情况(电子版)于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日前报县减灾办。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0"/>
          <w:highlight w:val="none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联系人: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郭芳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，电话: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7177829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,电子箱: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"mailto:qnyjbz@126.com" </w:instrTex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6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qnyjbz@126.com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xYzNjZjA4Y2Y3OWE1ZDliY2YyYmUzMWZiOGY2MDEifQ=="/>
  </w:docVars>
  <w:rsids>
    <w:rsidRoot w:val="26BD1278"/>
    <w:rsid w:val="0000586B"/>
    <w:rsid w:val="00047DE3"/>
    <w:rsid w:val="000B0E44"/>
    <w:rsid w:val="000D362F"/>
    <w:rsid w:val="001B3508"/>
    <w:rsid w:val="00287808"/>
    <w:rsid w:val="00294953"/>
    <w:rsid w:val="00391BF2"/>
    <w:rsid w:val="003A2F17"/>
    <w:rsid w:val="003E7664"/>
    <w:rsid w:val="0045250A"/>
    <w:rsid w:val="004C39E7"/>
    <w:rsid w:val="0050121E"/>
    <w:rsid w:val="00565DAC"/>
    <w:rsid w:val="005A6D3F"/>
    <w:rsid w:val="00763CC7"/>
    <w:rsid w:val="007C4494"/>
    <w:rsid w:val="008306A0"/>
    <w:rsid w:val="0088004F"/>
    <w:rsid w:val="009944CA"/>
    <w:rsid w:val="009960D3"/>
    <w:rsid w:val="009D52AC"/>
    <w:rsid w:val="009E2375"/>
    <w:rsid w:val="00A01A53"/>
    <w:rsid w:val="00A1191C"/>
    <w:rsid w:val="00AD0DA6"/>
    <w:rsid w:val="00B25ACE"/>
    <w:rsid w:val="00B35D97"/>
    <w:rsid w:val="00B90D76"/>
    <w:rsid w:val="00BE418F"/>
    <w:rsid w:val="00CB3FD1"/>
    <w:rsid w:val="00D054BF"/>
    <w:rsid w:val="00D1159E"/>
    <w:rsid w:val="00D25562"/>
    <w:rsid w:val="00ED7667"/>
    <w:rsid w:val="012078F0"/>
    <w:rsid w:val="016A4DD0"/>
    <w:rsid w:val="03105110"/>
    <w:rsid w:val="043A5387"/>
    <w:rsid w:val="04604998"/>
    <w:rsid w:val="0465287E"/>
    <w:rsid w:val="04996924"/>
    <w:rsid w:val="056C560B"/>
    <w:rsid w:val="07516130"/>
    <w:rsid w:val="08312799"/>
    <w:rsid w:val="08A12B0F"/>
    <w:rsid w:val="08BC72FA"/>
    <w:rsid w:val="095723A3"/>
    <w:rsid w:val="09A109DE"/>
    <w:rsid w:val="0B7857E0"/>
    <w:rsid w:val="0B975AAC"/>
    <w:rsid w:val="0C843C67"/>
    <w:rsid w:val="0D703107"/>
    <w:rsid w:val="0E024588"/>
    <w:rsid w:val="0E3D6C92"/>
    <w:rsid w:val="0F01011F"/>
    <w:rsid w:val="0F8F361E"/>
    <w:rsid w:val="0FD65F35"/>
    <w:rsid w:val="0FDA0C54"/>
    <w:rsid w:val="109967FC"/>
    <w:rsid w:val="10EB102D"/>
    <w:rsid w:val="13C13B81"/>
    <w:rsid w:val="13E22FA3"/>
    <w:rsid w:val="14073440"/>
    <w:rsid w:val="16120D6E"/>
    <w:rsid w:val="16AD3587"/>
    <w:rsid w:val="17751CFB"/>
    <w:rsid w:val="18247FB1"/>
    <w:rsid w:val="19B74B6F"/>
    <w:rsid w:val="1A563806"/>
    <w:rsid w:val="1AEB46D3"/>
    <w:rsid w:val="1CBE6A19"/>
    <w:rsid w:val="1F9B49C4"/>
    <w:rsid w:val="1FF561F6"/>
    <w:rsid w:val="20623A29"/>
    <w:rsid w:val="231F0DAC"/>
    <w:rsid w:val="24C640B3"/>
    <w:rsid w:val="24F353B2"/>
    <w:rsid w:val="25087144"/>
    <w:rsid w:val="26143832"/>
    <w:rsid w:val="26BD1278"/>
    <w:rsid w:val="27286E69"/>
    <w:rsid w:val="285979B1"/>
    <w:rsid w:val="29DB71A3"/>
    <w:rsid w:val="2C5F157F"/>
    <w:rsid w:val="2C65442A"/>
    <w:rsid w:val="2CC55838"/>
    <w:rsid w:val="2D002591"/>
    <w:rsid w:val="2D143097"/>
    <w:rsid w:val="2DA85879"/>
    <w:rsid w:val="2E494ED5"/>
    <w:rsid w:val="2F8C059F"/>
    <w:rsid w:val="2FE85FD0"/>
    <w:rsid w:val="31EA7D90"/>
    <w:rsid w:val="32D84E3C"/>
    <w:rsid w:val="33F833B3"/>
    <w:rsid w:val="35956011"/>
    <w:rsid w:val="36127662"/>
    <w:rsid w:val="36DC2446"/>
    <w:rsid w:val="38101309"/>
    <w:rsid w:val="3828041B"/>
    <w:rsid w:val="387D0B91"/>
    <w:rsid w:val="39AD3016"/>
    <w:rsid w:val="39B34EB8"/>
    <w:rsid w:val="39B37846"/>
    <w:rsid w:val="3A6D6268"/>
    <w:rsid w:val="3B007A89"/>
    <w:rsid w:val="3B9D79CE"/>
    <w:rsid w:val="3C2A2F90"/>
    <w:rsid w:val="3D672041"/>
    <w:rsid w:val="3D8E247F"/>
    <w:rsid w:val="3FA05CDE"/>
    <w:rsid w:val="3FA60AEE"/>
    <w:rsid w:val="40385E9D"/>
    <w:rsid w:val="42AD77B4"/>
    <w:rsid w:val="430A0C2A"/>
    <w:rsid w:val="43475BF8"/>
    <w:rsid w:val="439C0B2F"/>
    <w:rsid w:val="458830D3"/>
    <w:rsid w:val="45DA5A22"/>
    <w:rsid w:val="45FD5280"/>
    <w:rsid w:val="486F7520"/>
    <w:rsid w:val="488940F8"/>
    <w:rsid w:val="49162F07"/>
    <w:rsid w:val="4A572C86"/>
    <w:rsid w:val="4BCD3207"/>
    <w:rsid w:val="4D805375"/>
    <w:rsid w:val="4E2A330D"/>
    <w:rsid w:val="50993A8F"/>
    <w:rsid w:val="516F72BF"/>
    <w:rsid w:val="52307387"/>
    <w:rsid w:val="534906C3"/>
    <w:rsid w:val="53FF5976"/>
    <w:rsid w:val="547439F8"/>
    <w:rsid w:val="54C0055D"/>
    <w:rsid w:val="55700C88"/>
    <w:rsid w:val="559B0FCF"/>
    <w:rsid w:val="55E331F9"/>
    <w:rsid w:val="57493989"/>
    <w:rsid w:val="588B19B6"/>
    <w:rsid w:val="589917F1"/>
    <w:rsid w:val="59112B06"/>
    <w:rsid w:val="59720B68"/>
    <w:rsid w:val="5999312B"/>
    <w:rsid w:val="5AC74205"/>
    <w:rsid w:val="5C58551F"/>
    <w:rsid w:val="5DD02F8B"/>
    <w:rsid w:val="5ED3503F"/>
    <w:rsid w:val="5F9A56DC"/>
    <w:rsid w:val="62CB3D0F"/>
    <w:rsid w:val="6375796D"/>
    <w:rsid w:val="63B739E0"/>
    <w:rsid w:val="64AF530B"/>
    <w:rsid w:val="64DB527C"/>
    <w:rsid w:val="65722A79"/>
    <w:rsid w:val="65FE4EEB"/>
    <w:rsid w:val="677419F8"/>
    <w:rsid w:val="677E63FB"/>
    <w:rsid w:val="6867332D"/>
    <w:rsid w:val="6BDD614F"/>
    <w:rsid w:val="6BEC358E"/>
    <w:rsid w:val="6C530234"/>
    <w:rsid w:val="6D535020"/>
    <w:rsid w:val="6D674921"/>
    <w:rsid w:val="6F566F3F"/>
    <w:rsid w:val="6FAB0F71"/>
    <w:rsid w:val="6FEA24DA"/>
    <w:rsid w:val="70256C44"/>
    <w:rsid w:val="710D28CC"/>
    <w:rsid w:val="71E74479"/>
    <w:rsid w:val="71FC6D37"/>
    <w:rsid w:val="74416B3E"/>
    <w:rsid w:val="75B45DD5"/>
    <w:rsid w:val="76D41A3B"/>
    <w:rsid w:val="77773787"/>
    <w:rsid w:val="780B11A6"/>
    <w:rsid w:val="798B2065"/>
    <w:rsid w:val="799D5DD6"/>
    <w:rsid w:val="7A041027"/>
    <w:rsid w:val="7AE90891"/>
    <w:rsid w:val="7BB5225B"/>
    <w:rsid w:val="7C173B57"/>
    <w:rsid w:val="7C287FC8"/>
    <w:rsid w:val="7CE85291"/>
    <w:rsid w:val="7D9D4D69"/>
    <w:rsid w:val="7DE469D2"/>
    <w:rsid w:val="7E383B28"/>
    <w:rsid w:val="7E3A67F4"/>
    <w:rsid w:val="7EAB632A"/>
    <w:rsid w:val="7EF4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2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3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4"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character" w:default="1" w:styleId="14">
    <w:name w:val="Default Paragraph Font"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"/>
    <w:basedOn w:val="1"/>
    <w:qFormat/>
    <w:uiPriority w:val="1"/>
    <w:pPr>
      <w:spacing w:before="164"/>
      <w:ind w:left="111" w:firstLine="631"/>
    </w:pPr>
    <w:rPr>
      <w:rFonts w:ascii="仿宋_GB2312" w:hAnsi="仿宋_GB2312" w:eastAsia="仿宋_GB2312"/>
      <w:sz w:val="32"/>
      <w:szCs w:val="32"/>
    </w:rPr>
  </w:style>
  <w:style w:type="paragraph" w:styleId="9">
    <w:name w:val="Balloon Text"/>
    <w:basedOn w:val="1"/>
    <w:link w:val="18"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Title"/>
    <w:basedOn w:val="1"/>
    <w:next w:val="1"/>
    <w:link w:val="19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character" w:customStyle="1" w:styleId="17">
    <w:name w:val="标题 1 Char"/>
    <w:basedOn w:val="14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8">
    <w:name w:val="批注框文本 Char"/>
    <w:basedOn w:val="14"/>
    <w:link w:val="9"/>
    <w:qFormat/>
    <w:uiPriority w:val="0"/>
    <w:rPr>
      <w:kern w:val="2"/>
      <w:sz w:val="18"/>
      <w:szCs w:val="18"/>
    </w:rPr>
  </w:style>
  <w:style w:type="character" w:customStyle="1" w:styleId="19">
    <w:name w:val="标题 Char"/>
    <w:basedOn w:val="14"/>
    <w:link w:val="12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  <w:style w:type="character" w:customStyle="1" w:styleId="20">
    <w:name w:val="标题 2 Char"/>
    <w:basedOn w:val="14"/>
    <w:link w:val="3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1">
    <w:name w:val="标题 3 Char"/>
    <w:basedOn w:val="14"/>
    <w:link w:val="4"/>
    <w:qFormat/>
    <w:uiPriority w:val="0"/>
    <w:rPr>
      <w:b/>
      <w:bCs/>
      <w:kern w:val="2"/>
      <w:sz w:val="32"/>
      <w:szCs w:val="32"/>
    </w:rPr>
  </w:style>
  <w:style w:type="character" w:customStyle="1" w:styleId="22">
    <w:name w:val="标题 4 Char"/>
    <w:basedOn w:val="14"/>
    <w:link w:val="5"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23">
    <w:name w:val="标题 5 Char"/>
    <w:basedOn w:val="14"/>
    <w:link w:val="6"/>
    <w:qFormat/>
    <w:uiPriority w:val="0"/>
    <w:rPr>
      <w:b/>
      <w:bCs/>
      <w:kern w:val="2"/>
      <w:sz w:val="28"/>
      <w:szCs w:val="28"/>
    </w:rPr>
  </w:style>
  <w:style w:type="character" w:customStyle="1" w:styleId="24">
    <w:name w:val="标题 6 Char"/>
    <w:basedOn w:val="14"/>
    <w:link w:val="7"/>
    <w:qFormat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najj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china</Company>
  <Pages>6</Pages>
  <Words>2317</Words>
  <Characters>2402</Characters>
  <Lines>14</Lines>
  <Paragraphs>4</Paragraphs>
  <TotalTime>0</TotalTime>
  <ScaleCrop>false</ScaleCrop>
  <LinksUpToDate>false</LinksUpToDate>
  <CharactersWithSpaces>2477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2019-04-26T00:50:00Z</dcterms:created>
  <dc:creator>曹金兵</dc:creator>
  <cp:lastModifiedBy>Administrator</cp:lastModifiedBy>
  <cp:lastPrinted>2021-04-21T01:37:00Z</cp:lastPrinted>
  <dcterms:modified xsi:type="dcterms:W3CDTF">2022-12-08T09:13:45Z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54C37F143B6145E791C0E92E30361F1F</vt:lpwstr>
  </property>
  <property fmtid="{D5CDD505-2E9C-101B-9397-08002B2CF9AE}" pid="4" name="commondata">
    <vt:lpwstr>eyJoZGlkIjoiMzUxYzNjZjA4Y2Y3OWE1ZDliY2YyYmUzMWZiOGY2MDEifQ==</vt:lpwstr>
  </property>
</Properties>
</file>