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720" w:firstLineChars="200"/>
        <w:jc w:val="center"/>
        <w:textAlignment w:val="auto"/>
        <w:rPr>
          <w:rFonts w:ascii="方正小标宋简体" w:hAnsi="仿宋" w:eastAsia="方正小标宋简体"/>
          <w:sz w:val="36"/>
          <w:szCs w:val="32"/>
        </w:rPr>
      </w:pPr>
      <w:r>
        <w:rPr>
          <w:rFonts w:hint="eastAsia" w:ascii="方正小标宋简体" w:hAnsi="仿宋" w:eastAsia="方正小标宋简体"/>
          <w:sz w:val="36"/>
          <w:szCs w:val="32"/>
        </w:rPr>
        <w:t>江西省全南县文物保护转移支付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72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仿宋" w:eastAsia="方正小标宋简体"/>
          <w:sz w:val="36"/>
          <w:szCs w:val="32"/>
        </w:rPr>
        <w:t>20</w:t>
      </w:r>
      <w:r>
        <w:rPr>
          <w:rFonts w:hint="eastAsia" w:ascii="方正小标宋简体" w:hAnsi="仿宋" w:eastAsia="方正小标宋简体"/>
          <w:sz w:val="36"/>
          <w:szCs w:val="32"/>
          <w:lang w:val="en-US" w:eastAsia="zh-CN"/>
        </w:rPr>
        <w:t>20</w:t>
      </w:r>
      <w:r>
        <w:rPr>
          <w:rFonts w:hint="eastAsia" w:ascii="方正小标宋简体" w:hAnsi="仿宋" w:eastAsia="方正小标宋简体"/>
          <w:sz w:val="36"/>
          <w:szCs w:val="32"/>
        </w:rPr>
        <w:t>年度绩效自评报告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一、绩效目标分解下达情况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（一）中央下达文物保护转移支付预算和绩效目标情况。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年度，（赣财文指【2018】83号）关于提前下达2019年国家文物保护专项资金的通知与（赣财文指【2019】35号）江西省财政厅关于下达2019年国家文物保护专项资金的通知等文件</w:t>
      </w:r>
      <w:r>
        <w:rPr>
          <w:rFonts w:hint="eastAsia" w:ascii="仿宋" w:hAnsi="仿宋" w:eastAsia="仿宋"/>
          <w:sz w:val="32"/>
          <w:szCs w:val="32"/>
          <w:lang w:eastAsia="zh-CN"/>
        </w:rPr>
        <w:t>安排</w:t>
      </w:r>
      <w:r>
        <w:rPr>
          <w:rFonts w:hint="eastAsia" w:ascii="仿宋" w:hAnsi="仿宋" w:eastAsia="仿宋"/>
          <w:sz w:val="32"/>
          <w:szCs w:val="32"/>
        </w:rPr>
        <w:t>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108.3万元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具体绩效目标为：启动杨梅石三南游击队整训旧址的维修工作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（二）省内资金安排、分解下达预算和绩效目标情况。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hint="eastAsia" w:ascii="仿宋" w:hAnsi="仿宋" w:eastAsia="仿宋"/>
          <w:sz w:val="32"/>
          <w:szCs w:val="32"/>
          <w:lang w:eastAsia="zh-CN"/>
        </w:rPr>
        <w:t>文物保护工作无省级资金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（三）县级</w:t>
      </w:r>
      <w:r>
        <w:rPr>
          <w:rFonts w:hint="eastAsia" w:ascii="仿宋" w:hAnsi="仿宋" w:eastAsia="仿宋"/>
          <w:sz w:val="32"/>
          <w:szCs w:val="32"/>
        </w:rPr>
        <w:t>资金安排、分解下达预算和绩效目标情况。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根据（全财发【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2020】66号）全南县财政局关于抄送年各单位2020年部门预算预算的通知文物保护工作性经费3万元。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具体</w:t>
      </w:r>
      <w:r>
        <w:rPr>
          <w:rFonts w:hint="eastAsia" w:ascii="仿宋" w:hAnsi="仿宋" w:eastAsia="仿宋" w:cs="仿宋"/>
          <w:sz w:val="32"/>
          <w:szCs w:val="32"/>
        </w:rPr>
        <w:t>绩效目标如下：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度按照上级业务部门的工作要求，每月对全县区域内的不可移动文物进行一次全面安全巡查，同时，加大汛期对文物安全的巡查5次，红色文化调查6次以上。开展文物保护宣传进景区、进校园、进社区等活动8次，活动观看人数达8000余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（一）资金投入情况分析。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1、项目资金到位情况分析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各项目资金按时足额到位，20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度，上级文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物维修资金由财政直接支付施工单位，本级财政预算资金</w:t>
      </w:r>
      <w:r>
        <w:rPr>
          <w:rFonts w:hint="eastAsia" w:ascii="仿宋" w:hAnsi="仿宋" w:eastAsia="仿宋" w:cs="仿宋"/>
          <w:sz w:val="32"/>
          <w:szCs w:val="32"/>
        </w:rPr>
        <w:t>执行3万元。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2、项目资金执行情况分析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3万元专项资金已全部用完，无截留、无占用。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3、项目资金管理情况分析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3万元资金统归国库统一管理，专款专用，无截留、无占用。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（二）总体绩效目标完成情况分析。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1、项目决策情况。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文物保护是一项长期性工作，全南县政府对文物保护十分重视，在年度单位预算中安排一定的文物工作配套资金，并将文物保护纳入文化工作的年度考评。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2、项目过程情况。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全南县文物保护各项工作由全南县文化馆（全南县博物馆）组织落实实施。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3、项目产出情况。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年底，全南县省级文物保护单位8处，市级文物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保护单位3处，县级文物保护项目52处，尚未定级不可移动文物232处；馆藏文物62件。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4、项目效益情况。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文物保护工作在“文化+旅游”事业发展起到关健性作用。20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年由雅溪围群为主体的雅溪旅游景区为当地百姓带来的旅游收入近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千</w:t>
      </w:r>
      <w:r>
        <w:rPr>
          <w:rFonts w:hint="eastAsia" w:ascii="仿宋" w:hAnsi="仿宋" w:eastAsia="仿宋" w:cs="仿宋"/>
          <w:sz w:val="32"/>
          <w:szCs w:val="32"/>
        </w:rPr>
        <w:t>万元以上。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（三）绩效指标完成情况分析。</w:t>
      </w:r>
      <w:r>
        <w:rPr>
          <w:rFonts w:hint="eastAsia" w:ascii="楷体" w:hAnsi="楷体" w:eastAsia="楷体"/>
          <w:bCs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根据年初绩效指标逐项分析）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产出指标完成情况分析。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（1）数量指标。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每月对全县区域内的不可移动文物进行一次全面安全巡查，同时，加大汛期对文物安全的巡查4次，红色文化调查6次以上。开展文物保护宣传进景区、进校园、进社区等活动8次，活动观看人数达8000余人。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（2）质量指标。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文化遗产日及国际博物馆日的展览内容丰富，涉及面广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320" w:firstLineChars="1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（3）时效指标。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年12月3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320" w:firstLineChars="1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（4）成本指标。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保障资金专款专用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效益指标完成情况分析。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（1）经济效益。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文物保护工作进一步纳入了我县景区文化建设议程。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进一步扩大了文物保护的影响力，特别是在年轻一代中的影响力迅速提升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（3）生态效益。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广大民众保护</w:t>
      </w:r>
      <w:r>
        <w:rPr>
          <w:rFonts w:hint="eastAsia" w:ascii="仿宋" w:hAnsi="仿宋" w:eastAsia="仿宋"/>
          <w:sz w:val="32"/>
          <w:szCs w:val="32"/>
          <w:lang w:eastAsia="zh-CN"/>
        </w:rPr>
        <w:t>意识</w:t>
      </w:r>
      <w:r>
        <w:rPr>
          <w:rFonts w:hint="eastAsia" w:ascii="仿宋" w:hAnsi="仿宋" w:eastAsia="仿宋"/>
          <w:sz w:val="32"/>
          <w:szCs w:val="32"/>
        </w:rPr>
        <w:t>增</w:t>
      </w:r>
      <w:r>
        <w:rPr>
          <w:rFonts w:hint="eastAsia" w:ascii="仿宋" w:hAnsi="仿宋" w:eastAsia="仿宋"/>
          <w:sz w:val="32"/>
          <w:szCs w:val="32"/>
          <w:lang w:eastAsia="zh-CN"/>
        </w:rPr>
        <w:t>强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红色文化、</w:t>
      </w:r>
      <w:r>
        <w:rPr>
          <w:rFonts w:hint="eastAsia" w:ascii="仿宋" w:hAnsi="仿宋" w:eastAsia="仿宋"/>
          <w:sz w:val="32"/>
          <w:szCs w:val="32"/>
        </w:rPr>
        <w:t>传统古建筑得以保护。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（4）可持续影响。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加强对具有历史、文化价值的文物保护单位的抢救性维修工作，健全文化生态保护。对已实现业态经营的文物保护单位提供了发展的不竭动力。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满意度指标完成情况分析。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在开展文物安全宣传活动中，满意度100%；在开展的文物保护传播活动时，随机抽查现场群众20人，满意度100%；在开展文化遗产进景区、进校园活动中，随机抽查现场受众，满意度100%。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制定年度工作方案，在完成上级业务部门组织安排的工作实施方案，配合相关部门完成文物调查工作，20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年本年度初设定的绩效目标均已完成。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全南县博物馆与全南县文化馆是二块牌子一套人马，所从事两项工作人员仅为4人，原本文化馆的群众文化工作与非遗保护工作较为繁多，许多工作无法做到及时处理，从而影响工作质量。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建议</w:t>
      </w:r>
      <w:r>
        <w:rPr>
          <w:rFonts w:hint="eastAsia" w:ascii="仿宋" w:hAnsi="仿宋" w:eastAsia="仿宋" w:cs="仿宋"/>
          <w:sz w:val="32"/>
          <w:szCs w:val="32"/>
        </w:rPr>
        <w:t>对我县的文物保护工作，实行专人负责，不要存在一人多岗现象。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将绩效自评结果作为以后年度非遗保护专项转移支付预算申请、安排、分配的重要依据，对自评中发现的问题认真整改，并将绩效自评报告通过政府政务网站予以公开。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中央巡视、各级审计和财政监督中没有发现的问题及其所涉及的金额。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附：转移支付区域（项目）绩效目标自评表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222"/>
        </w:tabs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单位盖章</w:t>
      </w:r>
    </w:p>
    <w:p>
      <w:pPr>
        <w:keepNext w:val="0"/>
        <w:keepLines w:val="0"/>
        <w:pageBreakBefore w:val="0"/>
        <w:widowControl w:val="0"/>
        <w:tabs>
          <w:tab w:val="left" w:pos="6100"/>
        </w:tabs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1417" w:right="1417" w:bottom="1417" w:left="1417" w:header="851" w:footer="907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5517234"/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3 -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ACF"/>
    <w:rsid w:val="000756CC"/>
    <w:rsid w:val="00232B20"/>
    <w:rsid w:val="0036786C"/>
    <w:rsid w:val="00376D33"/>
    <w:rsid w:val="004E1192"/>
    <w:rsid w:val="004F35B0"/>
    <w:rsid w:val="005C74D0"/>
    <w:rsid w:val="00860D14"/>
    <w:rsid w:val="00875ACF"/>
    <w:rsid w:val="0091160C"/>
    <w:rsid w:val="009217E4"/>
    <w:rsid w:val="00A74841"/>
    <w:rsid w:val="00AB2C91"/>
    <w:rsid w:val="00AB4A71"/>
    <w:rsid w:val="00AD6C1E"/>
    <w:rsid w:val="00C036BD"/>
    <w:rsid w:val="00C53246"/>
    <w:rsid w:val="00DB1299"/>
    <w:rsid w:val="06B7015F"/>
    <w:rsid w:val="10332D83"/>
    <w:rsid w:val="186C581B"/>
    <w:rsid w:val="2071645B"/>
    <w:rsid w:val="5C246662"/>
    <w:rsid w:val="61FC47C9"/>
    <w:rsid w:val="6309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next w:val="1"/>
    <w:link w:val="8"/>
    <w:qFormat/>
    <w:uiPriority w:val="10"/>
    <w:pPr>
      <w:jc w:val="center"/>
      <w:outlineLvl w:val="0"/>
    </w:pPr>
    <w:rPr>
      <w:rFonts w:ascii="方正小标宋简体" w:eastAsia="方正小标宋简体" w:hAnsiTheme="minorHAnsi" w:cstheme="majorBidi"/>
      <w:b/>
      <w:bCs/>
      <w:kern w:val="2"/>
      <w:sz w:val="44"/>
      <w:szCs w:val="32"/>
      <w:lang w:val="en-US" w:eastAsia="zh-CN" w:bidi="ar-SA"/>
    </w:rPr>
  </w:style>
  <w:style w:type="character" w:customStyle="1" w:styleId="8">
    <w:name w:val="标题 Char"/>
    <w:basedOn w:val="7"/>
    <w:link w:val="5"/>
    <w:qFormat/>
    <w:uiPriority w:val="10"/>
    <w:rPr>
      <w:rFonts w:ascii="方正小标宋简体" w:eastAsia="方正小标宋简体" w:cstheme="majorBidi"/>
      <w:b/>
      <w:bCs/>
      <w:sz w:val="44"/>
      <w:szCs w:val="32"/>
    </w:rPr>
  </w:style>
  <w:style w:type="paragraph" w:customStyle="1" w:styleId="9">
    <w:name w:val="正文（仿宋3号）"/>
    <w:link w:val="10"/>
    <w:qFormat/>
    <w:uiPriority w:val="0"/>
    <w:pPr>
      <w:ind w:firstLine="640" w:firstLineChars="200"/>
    </w:pPr>
    <w:rPr>
      <w:rFonts w:ascii="仿宋" w:eastAsia="仿宋" w:hAnsiTheme="minorHAnsi" w:cstheme="minorBidi"/>
      <w:kern w:val="2"/>
      <w:sz w:val="32"/>
      <w:szCs w:val="32"/>
      <w:lang w:val="en-US" w:eastAsia="zh-CN" w:bidi="ar-SA"/>
    </w:rPr>
  </w:style>
  <w:style w:type="character" w:customStyle="1" w:styleId="10">
    <w:name w:val="正文（仿宋3号） Char"/>
    <w:basedOn w:val="7"/>
    <w:link w:val="9"/>
    <w:qFormat/>
    <w:uiPriority w:val="0"/>
    <w:rPr>
      <w:rFonts w:ascii="仿宋" w:eastAsia="仿宋"/>
      <w:sz w:val="32"/>
      <w:szCs w:val="32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236</Words>
  <Characters>1349</Characters>
  <Lines>11</Lines>
  <Paragraphs>3</Paragraphs>
  <TotalTime>9</TotalTime>
  <ScaleCrop>false</ScaleCrop>
  <LinksUpToDate>false</LinksUpToDate>
  <CharactersWithSpaces>1582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2020-06-22T09:26:00Z</dcterms:created>
  <dc:creator>李 志锋</dc:creator>
  <cp:lastModifiedBy>方贤芬</cp:lastModifiedBy>
  <dcterms:modified xsi:type="dcterms:W3CDTF">2021-03-15T02:04:11Z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