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</w:rPr>
        <w:t>字〔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全南县应急管理局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非煤矿山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生产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监管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检查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计划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局机关各股室，应急管理综合行政执法大队：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为进一步加强矿山安全生产监管执法，落实安全生产监督检查责任，规范安全生产监督检查行为，根据据《江西省应急管理厅关于做好2023年度全省安全生产监督检查计划编制工作的通知》（赣应急字〔2023〕6号）的要求，结合我县实际情况，按照统筹兼顾、分类分级、突出重点、提高效能的原则，制定监管检查计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以习近平新时代中国特色社会主义思想为指导，认真落实习近平总书记关于安全生产重要论述，全面落实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" w:eastAsia="zh-CN"/>
        </w:rPr>
        <w:t>国家矿山安全监察局《关于加强非煤矿山安全生产工作的指导意见》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（矿安〔2022〕4号）要求，增强安全防范治理保障能力，不断提升非煤矿山安全生产整体水平，全力防范和遏制安全生产事故，为推动我县经济高质量发展作出贡献。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二、工作目标</w:t>
      </w:r>
    </w:p>
    <w:p>
      <w:pPr>
        <w:pStyle w:val="1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以习近平新时代中国特色社会主义思想为指导，按照上级应急管理部门和县委、县政府关于安全生产工作的决策部署，坚持“安全第一、预防为主、综合治理”的方针，牢固树立“人民至上、生命至上”理念，健全安全生产监管体系，完善安全生产责任制，创新安全生产监管执法方式，规范安全生产执法行为，严肃查处安全生产非法违法行为，坚决遏制矿山较大以上生产安全事故，促进我县安全生产形势持续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三、执法检查的主要任务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  <w:t>（一）专项执法检查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1.2月份，开展春节后复产复工执法检查。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2.3月份，开展主要负责人履职执法检查。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3.4月至5月，开展地下矿山和尾矿库防汛度汛工作专项执法检查。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4.7月至8月，“专家会诊”专项执法检查。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5.10月份，开展顶板支护分级管理专项执法检查。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6.10月至11月，开展特种作业专项执法检查。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  <w:t>（二）日常执法检查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按照监督检查事项，对正常生产、建设矿山开展日常监督检查，对重点监督检查对象每2个月一次，对一般监督检查对象的监督检查每季度一次。主要检查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爆破、井下动火、交叉作业等危险作业情况，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建设项目安全设施是否依照设计及法规要求建设施工，安全评价及安全检测检验报告的质量及真实性，落实风险管控措施与隐患排查治理情况，“三项岗位人员”持证上岗情况。其他上级交办或组织的检查。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  <w:t>(三)联合执法检查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参与公安、乡镇、自然资源等部门开展的联合执法，深入开展“打非治违”活动，加强对停产停建关闭矿山的安全监管。严厉打击无证无照和证照不全，盗采矿产资源，超层越界开采，以勘探或基建名义实施开采等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  <w:t>（四）重要敏感时期执法检查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开展春节、两会、国庆等重要敏感时期监管检查。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（一）加强作风建设，提升服务意识，务必牢固树立以人民为中心思想，持续改进工作作风，履职尽责、动真碰硬、担当作为，力戒形式主义、官僚主义。坚持严格监管和优服务相结合，在加强矿山安全监管的同时，做好指导服务，全力为企业排忧解难。严明组织纪律，以钉钉子的精神，时刻把纪律和规矩挺在前面，加强纪律教育、强化纪律执行，让大家知敬畏、存戒惧、守底线，做到警钟长鸣，努力营造清正廉洁、勇于担当的工作氛围，树立监管干部良好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（二）督促严格落实企业主体责任，保证各项安全投入，认真做好今年的各项安全生产工作，特别是对安全许可、基础建设、现场管理和隐患排查治理工作，按时保质完成各项工作任务。不断完善和提升企业自身安全生产条件，逐步建立起自我约束、自我完善、持续改进的安全生产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（三）对执法检查发现的问题严格依法依规分类处置，按照“四个一律”的要求扎实开展集中整治。对存在违法生产经营建设行为的单位，一律责令停产整顿，并严格落实监管措施；对非法生产经营建设和经停产整顿仍未达到要求的，一律依法提请地方政府作出关闭取缔决定并组织实施到位；对经责令整改后仍发生非法违法生产经营建设的单位和责任人，一律按规定上限予以处罚；对触犯法律的有关单位和人员，一律依法严格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附件：1.全南县非煤矿山监督检查对象统计表</w:t>
      </w:r>
    </w:p>
    <w:p>
      <w:pPr>
        <w:pStyle w:val="2"/>
        <w:ind w:firstLine="1600" w:firstLineChars="5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2.非煤矿山安全生产监督检查内容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全南县应急管理局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cs="仿宋_GB2312"/>
          <w:color w:val="000000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2023年2月</w:t>
      </w:r>
      <w:r>
        <w:rPr>
          <w:rFonts w:hint="eastAsia" w:ascii="仿宋_GB2312" w:hAnsi="仿宋_GB2312" w:cs="仿宋_GB2312"/>
          <w:color w:val="000000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spacing w:before="100" w:line="207" w:lineRule="auto"/>
        <w:ind w:left="142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7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7"/>
          <w:sz w:val="31"/>
          <w:szCs w:val="31"/>
          <w:lang w:val="en-US" w:eastAsia="zh-CN"/>
        </w:rPr>
        <w:t>1</w:t>
      </w:r>
    </w:p>
    <w:p>
      <w:pPr>
        <w:spacing w:before="2" w:line="211" w:lineRule="auto"/>
        <w:ind w:firstLine="696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全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南县非煤矿山</w:t>
      </w:r>
      <w:r>
        <w:rPr>
          <w:rFonts w:hint="eastAsia" w:ascii="方正小标宋简体" w:hAnsi="方正小标宋简体" w:eastAsia="方正小标宋简体" w:cs="方正小标宋简体"/>
          <w:spacing w:val="-3"/>
          <w:sz w:val="36"/>
          <w:szCs w:val="36"/>
        </w:rPr>
        <w:t>监督检查对象统计表</w:t>
      </w:r>
    </w:p>
    <w:p>
      <w:pPr>
        <w:spacing w:line="474" w:lineRule="auto"/>
        <w:rPr>
          <w:rFonts w:ascii="Arial"/>
          <w:sz w:val="21"/>
        </w:rPr>
      </w:pPr>
    </w:p>
    <w:p>
      <w:pPr>
        <w:spacing w:line="70" w:lineRule="exact"/>
      </w:pPr>
    </w:p>
    <w:tbl>
      <w:tblPr>
        <w:tblStyle w:val="18"/>
        <w:tblW w:w="5002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3046"/>
        <w:gridCol w:w="1448"/>
        <w:gridCol w:w="1235"/>
        <w:gridCol w:w="979"/>
        <w:gridCol w:w="1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349" w:type="pct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tabs>
                <w:tab w:val="left" w:pos="348"/>
              </w:tabs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  <w:p>
            <w:pPr>
              <w:tabs>
                <w:tab w:val="left" w:pos="348"/>
              </w:tabs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  <w:p>
            <w:pPr>
              <w:tabs>
                <w:tab w:val="left" w:pos="348"/>
              </w:tabs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总数</w:t>
            </w:r>
          </w:p>
        </w:tc>
        <w:tc>
          <w:tcPr>
            <w:tcW w:w="3836" w:type="pct"/>
            <w:gridSpan w:val="4"/>
            <w:noWrap w:val="0"/>
            <w:vAlign w:val="center"/>
          </w:tcPr>
          <w:p>
            <w:pPr>
              <w:tabs>
                <w:tab w:val="left" w:pos="348"/>
              </w:tabs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重点</w:t>
            </w:r>
            <w:r>
              <w:rPr>
                <w:rFonts w:hint="eastAsia" w:cs="Times New Roman"/>
                <w:sz w:val="21"/>
                <w:lang w:eastAsia="zh-CN"/>
              </w:rPr>
              <w:t>监督检查对象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tabs>
                <w:tab w:val="left" w:pos="348"/>
              </w:tabs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一般</w:t>
            </w:r>
            <w:r>
              <w:rPr>
                <w:rFonts w:hint="eastAsia" w:cs="Times New Roman"/>
                <w:sz w:val="21"/>
                <w:lang w:eastAsia="zh-CN"/>
              </w:rPr>
              <w:t>监督检查对象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349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tabs>
                <w:tab w:val="left" w:pos="348"/>
              </w:tabs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</w:tc>
        <w:tc>
          <w:tcPr>
            <w:tcW w:w="1742" w:type="pct"/>
            <w:noWrap w:val="0"/>
            <w:vAlign w:val="center"/>
          </w:tcPr>
          <w:p>
            <w:pPr>
              <w:tabs>
                <w:tab w:val="left" w:pos="348"/>
              </w:tabs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地下矿 山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tabs>
                <w:tab w:val="left" w:pos="348"/>
              </w:tabs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露天矿山(采场或 排土场边坡高度 200 米以上的)</w:t>
            </w:r>
          </w:p>
        </w:tc>
        <w:tc>
          <w:tcPr>
            <w:tcW w:w="706" w:type="pct"/>
            <w:noWrap w:val="0"/>
            <w:vAlign w:val="center"/>
          </w:tcPr>
          <w:p>
            <w:pPr>
              <w:tabs>
                <w:tab w:val="left" w:pos="348"/>
              </w:tabs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三等及以 上尾矿库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tabs>
                <w:tab w:val="left" w:pos="348"/>
              </w:tabs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四等“头 顶库”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tabs>
                <w:tab w:val="left" w:pos="348"/>
              </w:tabs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  <w:p>
            <w:pPr>
              <w:tabs>
                <w:tab w:val="left" w:pos="348"/>
              </w:tabs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349" w:type="pct"/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9</w:t>
            </w:r>
          </w:p>
        </w:tc>
        <w:tc>
          <w:tcPr>
            <w:tcW w:w="1742" w:type="pct"/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0</w:t>
            </w:r>
          </w:p>
        </w:tc>
        <w:tc>
          <w:tcPr>
            <w:tcW w:w="706" w:type="pct"/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0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349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42" w:type="pct"/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江西大吉山钨业有限公司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</w:rPr>
              <w:t>江西大吉山钨业有限公司</w:t>
            </w:r>
            <w:r>
              <w:rPr>
                <w:rFonts w:hint="eastAsia" w:eastAsia="宋体"/>
                <w:sz w:val="21"/>
                <w:lang w:val="en-US" w:eastAsia="zh-CN"/>
              </w:rPr>
              <w:t>2号尾矿库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sz w:val="21"/>
              </w:rPr>
              <w:t>全南县官山钨业有限责任公司</w:t>
            </w:r>
            <w:r>
              <w:rPr>
                <w:rFonts w:hint="eastAsia" w:eastAsia="宋体"/>
                <w:sz w:val="21"/>
                <w:lang w:eastAsia="zh-CN"/>
              </w:rPr>
              <w:t>冷水角尾矿库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349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42" w:type="pct"/>
            <w:noWrap w:val="0"/>
            <w:vAlign w:val="center"/>
          </w:tcPr>
          <w:p>
            <w:pPr>
              <w:tabs>
                <w:tab w:val="left" w:pos="348"/>
              </w:tabs>
              <w:jc w:val="both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江西省全南县石磊矿业有限责任公司青龙山萤石矿青龙山矿区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349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42" w:type="pct"/>
            <w:noWrap w:val="0"/>
            <w:vAlign w:val="center"/>
          </w:tcPr>
          <w:p>
            <w:pPr>
              <w:tabs>
                <w:tab w:val="left" w:pos="363"/>
              </w:tabs>
              <w:jc w:val="both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江西省全南县石磊矿业有限责任公司青龙山萤石矿井水寨矿区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349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42" w:type="pct"/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华星氟化学有限公司水尾山萤石矿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349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42" w:type="pct"/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华星氟化学有限公司水尾山萤石矿岐山矿区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349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42" w:type="pct"/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全南县官山钨业有限责任公司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349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42" w:type="pct"/>
            <w:noWrap w:val="0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赣州市国鑫矿业有限公司小叶岽萤石矿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spacing w:line="240" w:lineRule="auto"/>
        <w:jc w:val="left"/>
        <w:rPr>
          <w:rFonts w:ascii="Arial"/>
          <w:sz w:val="21"/>
        </w:rPr>
      </w:pPr>
      <w:r>
        <w:rPr>
          <w:rFonts w:ascii="Arial"/>
          <w:sz w:val="21"/>
        </w:rPr>
        <w:br w:type="page"/>
      </w:r>
    </w:p>
    <w:p>
      <w:pPr>
        <w:pStyle w:val="2"/>
        <w:ind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非煤矿山安全生产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监督检查内容</w:t>
      </w:r>
    </w:p>
    <w:p>
      <w:pPr>
        <w:pStyle w:val="2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（一）通用监督检查事项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1.主要负责人履行职责情况；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2.安全投入保障情况；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3.安全生产管理机构人员设置配备及规章制度制定与执行情况；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4.从业人员安全生产教育和培训情况；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5.特种作业人员持证上岗情况；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6.建设项目安全评价及建设项目安全设施“三同时”情况；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7.安全警示标志情况；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8.安全设备情况；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9.重大危险源安全管理情况；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10.事故隐患排查治理情况；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11.危险场所与员工宿舍安全距离及安全出口管理情况；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12.危险作业安全管理情况；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13.劳动防护用品管理情况；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14.生产经营项目、场所、设备发包、出租管理情况；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15.事故风险及应急措施告知情况；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16.是否存在非法生产、未批先建等情况；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17.应急预案的制定、演练、风险评估和应急资源调查、评审或者论证、备案、评估等情况。</w:t>
      </w:r>
    </w:p>
    <w:p>
      <w:pPr>
        <w:pStyle w:val="2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（二）重点监督检查事项</w:t>
      </w: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煤矿山相关证照取得情况、矿山图纸更新情况、作业中段和同时作业点数与设计对比情况、地下矿山安全出口设置情况、露天矿山安全距离情况、安全台阶参数与设计对比情况、尾矿库排洪系统质量检测情况、上升速率与设计对比情况。</w:t>
      </w: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407670</wp:posOffset>
                </wp:positionV>
                <wp:extent cx="557212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9pt;margin-top:32.1pt;height:0.05pt;width:438.75pt;z-index:251660288;mso-width-relative:page;mso-height-relative:page;" filled="f" stroked="t" coordsize="21600,21600" o:gfxdata="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mqxyn2AAAAAgBAAAPAAAAAAAAAAEAIAAAACIAAABkcnMvZG93bnJldi54&#10;bWxQSwECFAAUAAAACACHTuJAuWuGdPoBAAD1AwAADgAAAAAAAAABACAAAAAnAQAAZHJzL2Uyb0Rv&#10;Yy54bWxQSwUGAAAAAAYABgBZAQAAk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17145</wp:posOffset>
                </wp:positionV>
                <wp:extent cx="557212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1.35pt;height:0.05pt;width:438.75pt;z-index:251659264;mso-width-relative:page;mso-height-relative:page;" filled="f" stroked="t" coordsize="21600,21600" o:gfxdata="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xaQf41AAAAAUBAAAPAAAAAAAAAAEAIAAAACIAAABkcnMvZG93bnJldi54bWxQ&#10;SwECFAAUAAAACACHTuJAT0COdPsBAAD1AwAADgAAAAAAAAABACAAAAAjAQAAZHJzL2Uyb0RvYy54&#10;bWxQSwUGAAAAAAYABgBZAQAAkA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 xml:space="preserve">全南县应急管理局办公室             </w:t>
      </w:r>
      <w:r>
        <w:rPr>
          <w:rFonts w:hint="eastAsia" w:ascii="宋体" w:hAnsi="宋体" w:eastAsia="宋体" w:cs="宋体"/>
          <w:color w:val="000000"/>
          <w:spacing w:val="0"/>
          <w:sz w:val="32"/>
          <w:szCs w:val="32"/>
          <w:lang w:val="en-US" w:eastAsia="zh-CN"/>
        </w:rPr>
        <w:t xml:space="preserve"> 2023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日印发</w:t>
      </w:r>
    </w:p>
    <w:sectPr>
      <w:headerReference r:id="rId3" w:type="default"/>
      <w:footerReference r:id="rId4" w:type="default"/>
      <w:type w:val="continuous"/>
      <w:pgSz w:w="11906" w:h="16838"/>
      <w:pgMar w:top="2098" w:right="1587" w:bottom="2098" w:left="1587" w:header="851" w:footer="992" w:gutt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MWYyZGZlYmU0YzE5MmQwZDA5MjJkNTQ4NDUzOTQifQ=="/>
  </w:docVars>
  <w:rsids>
    <w:rsidRoot w:val="0E5153B3"/>
    <w:rsid w:val="02C54365"/>
    <w:rsid w:val="03537BA5"/>
    <w:rsid w:val="03FE0B66"/>
    <w:rsid w:val="04C73300"/>
    <w:rsid w:val="07E900D0"/>
    <w:rsid w:val="081761C0"/>
    <w:rsid w:val="0DCC775F"/>
    <w:rsid w:val="0E5153B3"/>
    <w:rsid w:val="110A6F84"/>
    <w:rsid w:val="112F5BDA"/>
    <w:rsid w:val="14261483"/>
    <w:rsid w:val="155362A8"/>
    <w:rsid w:val="163E5442"/>
    <w:rsid w:val="16AD19E8"/>
    <w:rsid w:val="17787A27"/>
    <w:rsid w:val="19257F5C"/>
    <w:rsid w:val="19D5240A"/>
    <w:rsid w:val="1D68614B"/>
    <w:rsid w:val="1D935D5C"/>
    <w:rsid w:val="1DD106B2"/>
    <w:rsid w:val="1E0F397A"/>
    <w:rsid w:val="1EC55758"/>
    <w:rsid w:val="20B02DC1"/>
    <w:rsid w:val="20B03767"/>
    <w:rsid w:val="21C347B6"/>
    <w:rsid w:val="23B32AB5"/>
    <w:rsid w:val="262B0CB8"/>
    <w:rsid w:val="26651B54"/>
    <w:rsid w:val="27BC716F"/>
    <w:rsid w:val="296F4531"/>
    <w:rsid w:val="2A1054D5"/>
    <w:rsid w:val="2A59329A"/>
    <w:rsid w:val="2DD35D80"/>
    <w:rsid w:val="339D7B28"/>
    <w:rsid w:val="33F17B37"/>
    <w:rsid w:val="366C2AEB"/>
    <w:rsid w:val="366C3CD7"/>
    <w:rsid w:val="36753E8F"/>
    <w:rsid w:val="369379B4"/>
    <w:rsid w:val="36EC1412"/>
    <w:rsid w:val="378D51F2"/>
    <w:rsid w:val="38B90F1B"/>
    <w:rsid w:val="39174659"/>
    <w:rsid w:val="3B7E3885"/>
    <w:rsid w:val="3C031FD6"/>
    <w:rsid w:val="3E021D6A"/>
    <w:rsid w:val="457A4A20"/>
    <w:rsid w:val="46FE6047"/>
    <w:rsid w:val="47A53E92"/>
    <w:rsid w:val="48B454B7"/>
    <w:rsid w:val="493147DC"/>
    <w:rsid w:val="4B3579BB"/>
    <w:rsid w:val="4CC037FC"/>
    <w:rsid w:val="4E5B4245"/>
    <w:rsid w:val="4FE66F2C"/>
    <w:rsid w:val="505D3C14"/>
    <w:rsid w:val="50DB6B76"/>
    <w:rsid w:val="53D6655A"/>
    <w:rsid w:val="552C7DD2"/>
    <w:rsid w:val="5559421C"/>
    <w:rsid w:val="57A73A6B"/>
    <w:rsid w:val="57FA71D7"/>
    <w:rsid w:val="590F621F"/>
    <w:rsid w:val="5C3F0FBC"/>
    <w:rsid w:val="5C9A0FFF"/>
    <w:rsid w:val="5CC606DB"/>
    <w:rsid w:val="5DE10903"/>
    <w:rsid w:val="5DEE7C26"/>
    <w:rsid w:val="603D113C"/>
    <w:rsid w:val="60D66BD7"/>
    <w:rsid w:val="62911142"/>
    <w:rsid w:val="63301302"/>
    <w:rsid w:val="63E37DC4"/>
    <w:rsid w:val="682D728A"/>
    <w:rsid w:val="694C01BA"/>
    <w:rsid w:val="6E553457"/>
    <w:rsid w:val="6FCE5795"/>
    <w:rsid w:val="701916A8"/>
    <w:rsid w:val="711757D6"/>
    <w:rsid w:val="71791AD8"/>
    <w:rsid w:val="738D390C"/>
    <w:rsid w:val="771A3EBE"/>
    <w:rsid w:val="773109EF"/>
    <w:rsid w:val="77364257"/>
    <w:rsid w:val="777E7FBC"/>
    <w:rsid w:val="7920060A"/>
    <w:rsid w:val="79E955B1"/>
    <w:rsid w:val="7B444A13"/>
    <w:rsid w:val="7BFD3F26"/>
    <w:rsid w:val="7E8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line="300" w:lineRule="auto"/>
      <w:ind w:firstLine="200"/>
    </w:pPr>
    <w:rPr>
      <w:sz w:val="28"/>
      <w:szCs w:val="28"/>
    </w:rPr>
  </w:style>
  <w:style w:type="paragraph" w:styleId="4">
    <w:name w:val="Normal Indent"/>
    <w:basedOn w:val="1"/>
    <w:next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Body Text Indent 31"/>
    <w:basedOn w:val="1"/>
    <w:qFormat/>
    <w:uiPriority w:val="99"/>
    <w:pPr>
      <w:ind w:left="420" w:leftChars="200"/>
    </w:pPr>
    <w:rPr>
      <w:sz w:val="32"/>
    </w:rPr>
  </w:style>
  <w:style w:type="character" w:customStyle="1" w:styleId="13">
    <w:name w:val="font01"/>
    <w:basedOn w:val="10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NormalCharacter"/>
    <w:semiHidden/>
    <w:qFormat/>
    <w:uiPriority w:val="0"/>
    <w:rPr>
      <w:rFonts w:ascii="仿宋_GB2312" w:hAnsi="仿宋_GB2312" w:eastAsia="仿宋_GB2312" w:cs="Times New Roman"/>
      <w:sz w:val="22"/>
      <w:szCs w:val="22"/>
      <w:lang w:val="zh-CN" w:eastAsia="zh-CN" w:bidi="zh-CN"/>
    </w:rPr>
  </w:style>
  <w:style w:type="paragraph" w:customStyle="1" w:styleId="17">
    <w:name w:val="公文正文"/>
    <w:basedOn w:val="1"/>
    <w:qFormat/>
    <w:uiPriority w:val="0"/>
    <w:pPr>
      <w:widowControl/>
      <w:wordWrap w:val="0"/>
      <w:spacing w:line="560" w:lineRule="exact"/>
      <w:ind w:firstLine="420" w:firstLineChars="200"/>
    </w:pPr>
    <w:rPr>
      <w:rFonts w:ascii="仿宋_GB2312" w:hAnsi="仿宋_GB2312" w:eastAsia="仿宋_GB2312"/>
      <w:sz w:val="32"/>
      <w:szCs w:val="32"/>
    </w:rPr>
  </w:style>
  <w:style w:type="table" w:customStyle="1" w:styleId="1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2307</Words>
  <Characters>2374</Characters>
  <Lines>0</Lines>
  <Paragraphs>0</Paragraphs>
  <TotalTime>4</TotalTime>
  <ScaleCrop>false</ScaleCrop>
  <LinksUpToDate>false</LinksUpToDate>
  <CharactersWithSpaces>2436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2022-03-01T06:54:00Z</dcterms:created>
  <dc:creator>曹金兵</dc:creator>
  <cp:lastModifiedBy>鬼暧min妮～需要努力减肥</cp:lastModifiedBy>
  <cp:lastPrinted>2023-02-27T07:46:57Z</cp:lastPrinted>
  <dcterms:modified xsi:type="dcterms:W3CDTF">2023-02-27T07:47:55Z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9772F21627C846569E29713D05B99CD9</vt:lpwstr>
  </property>
  <property fmtid="{D5CDD505-2E9C-101B-9397-08002B2CF9AE}" pid="4" name="commondata">
    <vt:lpwstr>eyJoZGlkIjoiYWVmMWYyZGZlYmU0YzE5MmQwZDA5MjJkNTQ4NDUzOTQifQ==</vt:lpwstr>
  </property>
</Properties>
</file>