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lang w:eastAsia="zh-CN"/>
        </w:rPr>
        <w:t>部门评价报告</w:t>
      </w:r>
    </w:p>
    <w:p>
      <w:pPr>
        <w:pStyle w:val="3"/>
        <w:ind w:firstLine="2520" w:firstLineChars="700"/>
        <w:jc w:val="both"/>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乡村振兴项目资金）</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r>
        <w:rPr>
          <w:rFonts w:hint="eastAsia" w:ascii="宋体" w:hAnsi="宋体" w:eastAsia="楷体_GB2312" w:cs="Times New Roman"/>
          <w:b/>
          <w:color w:val="auto"/>
          <w:sz w:val="32"/>
          <w:lang w:val="en" w:eastAsia="zh-CN"/>
        </w:rPr>
        <w:t>（一）项目概况。</w:t>
      </w:r>
    </w:p>
    <w:p>
      <w:pPr>
        <w:pStyle w:val="3"/>
        <w:rPr>
          <w:rFonts w:hint="default" w:eastAsia="仿宋_GB2312"/>
          <w:lang w:val="en-US" w:eastAsia="zh-CN"/>
        </w:rPr>
      </w:pPr>
      <w:r>
        <w:rPr>
          <w:rFonts w:hint="eastAsia" w:ascii="仿宋_GB2312" w:hAnsi="仿宋_GB2312" w:eastAsia="仿宋_GB2312" w:cs="仿宋_GB2312"/>
          <w:sz w:val="32"/>
          <w:szCs w:val="32"/>
          <w:lang w:val="en-US" w:eastAsia="zh-CN"/>
        </w:rPr>
        <w:t>此项目资金来源为2022年度中央财政衔接推进乡村振兴补助资金，主要用于我镇的产业发展、基础设施建设及乡村建设规划等。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r>
        <w:rPr>
          <w:rFonts w:hint="eastAsia" w:ascii="宋体" w:hAnsi="宋体" w:eastAsia="楷体_GB2312" w:cs="Times New Roman"/>
          <w:b/>
          <w:color w:val="auto"/>
          <w:sz w:val="32"/>
          <w:lang w:val="en" w:eastAsia="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项目以完成龙源坝镇</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lang w:eastAsia="zh-CN"/>
        </w:rPr>
        <w:t>项目建设，全部支付完工程款，投入使用为总体目标，并设立按期对工程进度、施工质量、工程进度款项拨付情况进行监督的阶段性目标。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r>
        <w:rPr>
          <w:rFonts w:hint="eastAsia" w:ascii="宋体" w:hAnsi="宋体" w:eastAsia="楷体_GB2312" w:cs="Times New Roman"/>
          <w:b/>
          <w:color w:val="auto"/>
          <w:sz w:val="32"/>
          <w:lang w:val="en"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开展项目绩效评价目的是对预算执行进行“双监控”，动态掌握政策落实和项目进展情况的重要手段。主要包括项目绩效自评和部门整体支出绩效自评。评价范围为：</w:t>
      </w:r>
      <w:r>
        <w:rPr>
          <w:rFonts w:hint="eastAsia" w:ascii="仿宋_GB2312" w:hAnsi="仿宋_GB2312" w:eastAsia="仿宋_GB2312" w:cs="仿宋_GB2312"/>
          <w:sz w:val="32"/>
          <w:szCs w:val="32"/>
          <w:lang w:val="en-US" w:eastAsia="zh-CN"/>
        </w:rPr>
        <w:t>龙源坝镇人民政府2022年</w:t>
      </w:r>
      <w:r>
        <w:rPr>
          <w:rFonts w:hint="eastAsia" w:ascii="仿宋_GB2312" w:hAnsi="仿宋_GB2312" w:eastAsia="仿宋_GB2312" w:cs="仿宋_GB2312"/>
          <w:sz w:val="32"/>
          <w:szCs w:val="32"/>
          <w:lang w:eastAsia="zh-CN"/>
        </w:rPr>
        <w:t>财政一般公共预算资金和专项资金。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US" w:eastAsia="zh-CN"/>
        </w:rPr>
      </w:pPr>
      <w:r>
        <w:rPr>
          <w:rFonts w:hint="eastAsia" w:ascii="宋体" w:hAnsi="宋体" w:eastAsia="楷体_GB2312" w:cs="Times New Roman"/>
          <w:b/>
          <w:color w:val="auto"/>
          <w:sz w:val="32"/>
          <w:lang w:val="en-US" w:eastAsia="zh-CN"/>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宋体" w:hAnsi="宋体" w:eastAsia="仿宋_GB2312" w:cs="Times New Roman"/>
          <w:b/>
          <w:bCs/>
          <w:color w:val="auto"/>
          <w:sz w:val="32"/>
          <w:lang w:val="en-US" w:eastAsia="zh-CN"/>
        </w:rPr>
        <w:t>1.</w:t>
      </w:r>
      <w:r>
        <w:rPr>
          <w:rFonts w:hint="eastAsia" w:ascii="仿宋_GB2312" w:hAnsi="仿宋_GB2312" w:eastAsia="仿宋_GB2312" w:cs="仿宋_GB2312"/>
          <w:b/>
          <w:bCs/>
          <w:sz w:val="32"/>
          <w:szCs w:val="32"/>
          <w:lang w:val="en-US" w:eastAsia="zh-CN"/>
        </w:rPr>
        <w:t>绩效评价的基本原则。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（1）科学规范原则。</w:t>
      </w:r>
      <w:r>
        <w:rPr>
          <w:rFonts w:hint="eastAsia" w:ascii="仿宋_GB2312" w:hAnsi="仿宋_GB2312" w:eastAsia="仿宋_GB2312" w:cs="仿宋_GB2312"/>
          <w:sz w:val="32"/>
          <w:szCs w:val="32"/>
          <w:lang w:val="en-US" w:eastAsia="zh-CN"/>
        </w:rPr>
        <w:t>我部门项目绩效评价严格执行规定的程序，按照科学可行的要求，采用定量与定性分析相结合的方法。</w:t>
      </w:r>
    </w:p>
    <w:p>
      <w:pPr>
        <w:pStyle w:val="3"/>
        <w:numPr>
          <w:ilvl w:val="0"/>
          <w:numId w:val="0"/>
        </w:num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（2）公正公开原则。</w:t>
      </w:r>
      <w:r>
        <w:rPr>
          <w:rFonts w:hint="eastAsia" w:ascii="仿宋_GB2312" w:hAnsi="仿宋_GB2312" w:eastAsia="仿宋_GB2312" w:cs="仿宋_GB2312"/>
          <w:kern w:val="2"/>
          <w:sz w:val="32"/>
          <w:szCs w:val="32"/>
          <w:lang w:val="en-US" w:eastAsia="zh-CN" w:bidi="ar-SA"/>
        </w:rPr>
        <w:t>我部门项目绩效评价真实、客观、公正，依法公开并接受监督。</w:t>
      </w:r>
    </w:p>
    <w:p>
      <w:pPr>
        <w:pStyle w:val="3"/>
        <w:numPr>
          <w:ilvl w:val="0"/>
          <w:numId w:val="0"/>
        </w:num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（3）分级分类原则。</w:t>
      </w:r>
      <w:r>
        <w:rPr>
          <w:rFonts w:hint="eastAsia" w:ascii="仿宋_GB2312" w:hAnsi="仿宋_GB2312" w:eastAsia="仿宋_GB2312" w:cs="仿宋_GB2312"/>
          <w:kern w:val="2"/>
          <w:sz w:val="32"/>
          <w:szCs w:val="32"/>
          <w:lang w:val="en-US" w:eastAsia="zh-CN" w:bidi="ar-SA"/>
        </w:rPr>
        <w:t>我部门项目绩效评价根据不同项目的特点分类组织实施。</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（4）绩效相关原则。</w:t>
      </w:r>
      <w:r>
        <w:rPr>
          <w:rFonts w:hint="eastAsia" w:ascii="仿宋_GB2312" w:hAnsi="仿宋_GB2312" w:eastAsia="仿宋_GB2312" w:cs="仿宋_GB2312"/>
          <w:kern w:val="2"/>
          <w:sz w:val="32"/>
          <w:szCs w:val="32"/>
          <w:lang w:val="en-US" w:eastAsia="zh-CN" w:bidi="ar-SA"/>
        </w:rPr>
        <w:t>我部门项目绩效评价严格针对不同项目具体支出及其产出的绩效进行绩效评价，评价结果能清晰反应支出和产出绩效之间的紧密对应关系。</w:t>
      </w:r>
    </w:p>
    <w:p>
      <w:pPr>
        <w:pStyle w:val="3"/>
        <w:numPr>
          <w:ilvl w:val="0"/>
          <w:numId w:val="0"/>
        </w:numPr>
        <w:rPr>
          <w:rFonts w:hint="eastAsia" w:ascii="仿宋_GB2312" w:hAnsi="仿宋_GB2312" w:eastAsia="仿宋_GB2312" w:cs="仿宋_GB2312"/>
          <w:b/>
          <w:bCs/>
          <w:kern w:val="2"/>
          <w:sz w:val="32"/>
          <w:szCs w:val="32"/>
          <w:lang w:val="en-US" w:eastAsia="zh-CN" w:bidi="ar-SA"/>
        </w:rPr>
      </w:pPr>
      <w:r>
        <w:rPr>
          <w:rFonts w:hint="eastAsia" w:ascii="宋体" w:hAnsi="宋体" w:eastAsia="仿宋_GB2312" w:cs="Times New Roman"/>
          <w:b/>
          <w:bCs/>
          <w:color w:val="auto"/>
          <w:kern w:val="2"/>
          <w:sz w:val="32"/>
          <w:szCs w:val="24"/>
          <w:lang w:val="en-US" w:eastAsia="zh-CN" w:bidi="ar-SA"/>
        </w:rPr>
        <w:t>2.</w:t>
      </w:r>
      <w:r>
        <w:rPr>
          <w:rFonts w:hint="eastAsia" w:ascii="仿宋_GB2312" w:hAnsi="仿宋_GB2312" w:eastAsia="仿宋_GB2312" w:cs="仿宋_GB2312"/>
          <w:b/>
          <w:bCs/>
          <w:kern w:val="2"/>
          <w:sz w:val="32"/>
          <w:szCs w:val="32"/>
          <w:lang w:val="en-US" w:eastAsia="zh-CN" w:bidi="ar-SA"/>
        </w:rPr>
        <w:t>评价指标体系。</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项目评价指标体系为，项目预算执行率10分，成本指标20分，产出指标40分，效益指标20分，满意度指标10分，共计100分。</w:t>
      </w:r>
    </w:p>
    <w:p>
      <w:pPr>
        <w:pStyle w:val="3"/>
        <w:numPr>
          <w:ilvl w:val="0"/>
          <w:numId w:val="0"/>
        </w:numPr>
        <w:ind w:leftChars="0"/>
        <w:rPr>
          <w:rFonts w:hint="default" w:ascii="仿宋_GB2312" w:hAnsi="仿宋_GB2312" w:eastAsia="仿宋_GB2312" w:cs="仿宋_GB2312"/>
          <w:b/>
          <w:bCs/>
          <w:kern w:val="2"/>
          <w:sz w:val="32"/>
          <w:szCs w:val="32"/>
          <w:lang w:val="en-US" w:eastAsia="zh-CN" w:bidi="ar-SA"/>
        </w:rPr>
      </w:pPr>
      <w:r>
        <w:rPr>
          <w:rFonts w:hint="eastAsia" w:ascii="宋体" w:hAnsi="宋体" w:eastAsia="仿宋_GB2312" w:cs="Times New Roman"/>
          <w:b/>
          <w:bCs/>
          <w:color w:val="auto"/>
          <w:kern w:val="2"/>
          <w:sz w:val="32"/>
          <w:szCs w:val="24"/>
          <w:lang w:val="en-US" w:eastAsia="zh-CN" w:bidi="ar-SA"/>
        </w:rPr>
        <w:t>3.</w:t>
      </w:r>
      <w:r>
        <w:rPr>
          <w:rFonts w:hint="eastAsia" w:ascii="仿宋_GB2312" w:hAnsi="仿宋_GB2312" w:eastAsia="仿宋_GB2312" w:cs="仿宋_GB2312"/>
          <w:b/>
          <w:bCs/>
          <w:kern w:val="2"/>
          <w:sz w:val="32"/>
          <w:szCs w:val="32"/>
          <w:lang w:val="en-US" w:eastAsia="zh-CN" w:bidi="ar-SA"/>
        </w:rPr>
        <w:t>评价方法。</w:t>
      </w:r>
    </w:p>
    <w:p>
      <w:pPr>
        <w:pStyle w:val="3"/>
        <w:numPr>
          <w:ilvl w:val="0"/>
          <w:numId w:val="0"/>
        </w:numPr>
        <w:ind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主要采用比较分析法、因素分析法等。</w:t>
      </w:r>
    </w:p>
    <w:p>
      <w:pPr>
        <w:pStyle w:val="3"/>
        <w:numPr>
          <w:ilvl w:val="0"/>
          <w:numId w:val="0"/>
        </w:numPr>
        <w:rPr>
          <w:rFonts w:hint="eastAsia" w:ascii="仿宋_GB2312" w:hAnsi="仿宋_GB2312" w:eastAsia="仿宋_GB2312" w:cs="仿宋_GB2312"/>
          <w:b/>
          <w:bCs/>
          <w:kern w:val="2"/>
          <w:sz w:val="32"/>
          <w:szCs w:val="32"/>
          <w:lang w:val="en-US" w:eastAsia="zh-CN" w:bidi="ar-SA"/>
        </w:rPr>
      </w:pPr>
      <w:r>
        <w:rPr>
          <w:rFonts w:hint="eastAsia" w:ascii="宋体" w:hAnsi="宋体" w:eastAsia="仿宋_GB2312" w:cs="Times New Roman"/>
          <w:b/>
          <w:bCs/>
          <w:color w:val="auto"/>
          <w:kern w:val="2"/>
          <w:sz w:val="32"/>
          <w:szCs w:val="24"/>
          <w:lang w:val="en-US" w:eastAsia="zh-CN" w:bidi="ar-SA"/>
        </w:rPr>
        <w:t>4.</w:t>
      </w:r>
      <w:r>
        <w:rPr>
          <w:rFonts w:hint="eastAsia" w:ascii="仿宋_GB2312" w:hAnsi="仿宋_GB2312" w:eastAsia="仿宋_GB2312" w:cs="仿宋_GB2312"/>
          <w:b/>
          <w:bCs/>
          <w:kern w:val="2"/>
          <w:sz w:val="32"/>
          <w:szCs w:val="32"/>
          <w:lang w:val="en-US" w:eastAsia="zh-CN" w:bidi="ar-SA"/>
        </w:rPr>
        <w:t>评价标准。</w:t>
      </w:r>
    </w:p>
    <w:p>
      <w:pPr>
        <w:pStyle w:val="3"/>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具体评价指标，评价标准采用相对应的评分标准，以实现程度的百分率表示（或者以具体完成情况定性标准）。本次评价采用百分制，各级指标依据其指标权重确定分值，根据评价情况对各级指标进行打分，最终得分由各级评价指标得分加总得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US" w:eastAsia="zh-CN"/>
        </w:rPr>
      </w:pPr>
      <w:r>
        <w:rPr>
          <w:rFonts w:hint="eastAsia" w:ascii="宋体" w:hAnsi="宋体" w:eastAsia="楷体_GB2312" w:cs="Times New Roman"/>
          <w:b/>
          <w:color w:val="auto"/>
          <w:sz w:val="32"/>
          <w:lang w:val="en-US" w:eastAsia="zh-CN"/>
        </w:rPr>
        <w:t>（三）绩效评价工作过程</w:t>
      </w:r>
    </w:p>
    <w:p>
      <w:pPr>
        <w:pStyle w:val="3"/>
        <w:numPr>
          <w:ilvl w:val="0"/>
          <w:numId w:val="0"/>
        </w:numPr>
        <w:ind w:leftChars="0" w:firstLine="640" w:firstLineChars="200"/>
        <w:rPr>
          <w:rFonts w:hint="eastAsia" w:ascii="仿宋" w:hAnsi="仿宋" w:eastAsia="仿宋" w:cs="仿宋_GB2312"/>
          <w:kern w:val="2"/>
          <w:sz w:val="32"/>
          <w:szCs w:val="40"/>
          <w:lang w:val="en-US" w:eastAsia="zh-CN" w:bidi="ar-SA"/>
        </w:rPr>
      </w:pPr>
      <w:r>
        <w:rPr>
          <w:rFonts w:hint="eastAsia" w:ascii="仿宋" w:hAnsi="仿宋" w:eastAsia="仿宋" w:cs="仿宋_GB2312"/>
          <w:kern w:val="2"/>
          <w:sz w:val="32"/>
          <w:szCs w:val="40"/>
          <w:lang w:val="en-US" w:eastAsia="zh-CN" w:bidi="ar-SA"/>
        </w:rPr>
        <w:t>根据《中共全南县委 全南县人民政府关于全面实施预算绩效管理的实施意见》（全发[2019]5号）和《江西省财政厅关于印发&lt;江西省省级项目支出和部门整体支出绩效评价管理暂行办法&gt;的通知》（赣财绩[2022]9号）文件精神及相关文件规定，开展2022年度绩效自评和部门评价工作。</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三、综合评价情况及评价结论（附相关评分表）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highlight w:val="none"/>
          <w:lang w:val="en-US" w:eastAsia="zh-CN"/>
        </w:rPr>
        <w:t>根据年初设定的绩效目标，</w:t>
      </w:r>
      <w:r>
        <w:rPr>
          <w:rFonts w:hint="eastAsia" w:ascii="仿宋_GB2312" w:hAnsi="仿宋_GB2312" w:eastAsia="仿宋_GB2312" w:cs="仿宋_GB2312"/>
          <w:i w:val="0"/>
          <w:iCs w:val="0"/>
          <w:color w:val="000000"/>
          <w:kern w:val="0"/>
          <w:sz w:val="32"/>
          <w:szCs w:val="32"/>
          <w:u w:val="none"/>
          <w:lang w:val="en-US" w:eastAsia="zh-CN" w:bidi="ar"/>
        </w:rPr>
        <w:t>龙源坝镇乡村振兴项目</w:t>
      </w:r>
      <w:r>
        <w:rPr>
          <w:rFonts w:hint="eastAsia" w:ascii="仿宋_GB2312" w:hAnsi="仿宋_GB2312" w:eastAsia="仿宋_GB2312" w:cs="仿宋_GB2312"/>
          <w:kern w:val="0"/>
          <w:sz w:val="32"/>
          <w:szCs w:val="32"/>
          <w:highlight w:val="none"/>
          <w:lang w:val="en-US" w:eastAsia="zh-CN"/>
        </w:rPr>
        <w:t>绩效自评得分为</w:t>
      </w:r>
      <w:r>
        <w:rPr>
          <w:rFonts w:hint="eastAsia" w:ascii="宋体" w:hAnsi="宋体" w:eastAsia="仿宋_GB2312" w:cs="Times New Roman"/>
          <w:color w:val="auto"/>
          <w:kern w:val="2"/>
          <w:sz w:val="32"/>
          <w:szCs w:val="24"/>
          <w:lang w:val="en-US" w:eastAsia="zh-CN" w:bidi="ar-SA"/>
        </w:rPr>
        <w:t>100</w:t>
      </w:r>
      <w:r>
        <w:rPr>
          <w:rFonts w:hint="eastAsia" w:ascii="仿宋_GB2312" w:hAnsi="仿宋_GB2312" w:eastAsia="仿宋_GB2312" w:cs="仿宋_GB2312"/>
          <w:kern w:val="0"/>
          <w:sz w:val="32"/>
          <w:szCs w:val="32"/>
          <w:highlight w:val="none"/>
          <w:lang w:val="en-US" w:eastAsia="zh-CN"/>
        </w:rPr>
        <w:t>分，项目全年预算数为</w:t>
      </w:r>
      <w:r>
        <w:rPr>
          <w:rFonts w:hint="eastAsia" w:ascii="宋体" w:hAnsi="宋体" w:eastAsia="仿宋_GB2312" w:cs="Times New Roman"/>
          <w:color w:val="auto"/>
          <w:kern w:val="2"/>
          <w:sz w:val="32"/>
          <w:szCs w:val="24"/>
          <w:lang w:val="en-US" w:eastAsia="zh-CN" w:bidi="ar-SA"/>
        </w:rPr>
        <w:t>1417.05</w:t>
      </w:r>
      <w:r>
        <w:rPr>
          <w:rFonts w:hint="eastAsia" w:ascii="仿宋_GB2312" w:hAnsi="仿宋_GB2312" w:eastAsia="仿宋_GB2312" w:cs="仿宋_GB2312"/>
          <w:kern w:val="0"/>
          <w:sz w:val="32"/>
          <w:szCs w:val="32"/>
          <w:highlight w:val="none"/>
          <w:lang w:val="en-US" w:eastAsia="zh-CN"/>
        </w:rPr>
        <w:t>万元，执行数为</w:t>
      </w:r>
      <w:r>
        <w:rPr>
          <w:rFonts w:hint="eastAsia" w:ascii="宋体" w:hAnsi="宋体" w:eastAsia="仿宋_GB2312" w:cs="Times New Roman"/>
          <w:color w:val="auto"/>
          <w:kern w:val="2"/>
          <w:sz w:val="32"/>
          <w:szCs w:val="24"/>
          <w:lang w:val="en-US" w:eastAsia="zh-CN" w:bidi="ar-SA"/>
        </w:rPr>
        <w:t>1417.05</w:t>
      </w:r>
      <w:r>
        <w:rPr>
          <w:rFonts w:hint="eastAsia" w:ascii="仿宋_GB2312" w:hAnsi="仿宋_GB2312" w:eastAsia="仿宋_GB2312" w:cs="仿宋_GB2312"/>
          <w:kern w:val="0"/>
          <w:sz w:val="32"/>
          <w:szCs w:val="32"/>
          <w:highlight w:val="none"/>
          <w:lang w:val="en-US" w:eastAsia="zh-CN"/>
        </w:rPr>
        <w:t>万元，完成预算数的</w:t>
      </w:r>
      <w:r>
        <w:rPr>
          <w:rFonts w:hint="eastAsia" w:ascii="宋体" w:hAnsi="宋体" w:eastAsia="仿宋_GB2312" w:cs="Times New Roman"/>
          <w:color w:val="auto"/>
          <w:kern w:val="2"/>
          <w:sz w:val="32"/>
          <w:szCs w:val="24"/>
          <w:lang w:val="en-US" w:eastAsia="zh-CN" w:bidi="ar-SA"/>
        </w:rPr>
        <w:t>100</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r>
        <w:rPr>
          <w:rFonts w:hint="eastAsia" w:ascii="宋体" w:hAnsi="宋体" w:eastAsia="楷体_GB2312" w:cs="Times New Roman"/>
          <w:b/>
          <w:color w:val="auto"/>
          <w:sz w:val="32"/>
          <w:lang w:val="en" w:eastAsia="zh-CN"/>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该项目的实施严格按照我单位三重一大制度，组织党委、政府主要领导和班子成员开展讨论，并经投票一致通过后才组织人员着手项目实施事宜。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r>
        <w:rPr>
          <w:rFonts w:hint="eastAsia" w:ascii="宋体" w:hAnsi="宋体" w:eastAsia="楷体_GB2312" w:cs="Times New Roman"/>
          <w:b/>
          <w:color w:val="auto"/>
          <w:sz w:val="32"/>
          <w:lang w:val="en" w:eastAsia="zh-CN"/>
        </w:rPr>
        <w:t>（二）项目产出情况。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项目产出主要从数量指标、质量指标、实效指标、成本指标四项二级指标进行考核，从产出情况看，该项目的实施进度，施工质量，工程款拨付情况，成本控制等三级指标均能较好完成。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bookmarkStart w:id="0" w:name="_GoBack"/>
      <w:bookmarkEnd w:id="0"/>
      <w:r>
        <w:rPr>
          <w:rFonts w:hint="eastAsia" w:ascii="宋体" w:hAnsi="宋体" w:eastAsia="楷体_GB2312" w:cs="Times New Roman"/>
          <w:b/>
          <w:color w:val="auto"/>
          <w:sz w:val="32"/>
          <w:lang w:val="en" w:eastAsia="zh-CN"/>
        </w:rPr>
        <w:t>（三）项目效益情况。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项目效益主要从经济效益、社会效益、生态效益、可持续影响力等四项二级指标进行考核，</w:t>
      </w:r>
      <w:r>
        <w:rPr>
          <w:rFonts w:hint="eastAsia" w:ascii="仿宋_GB2312" w:hAnsi="仿宋_GB2312" w:eastAsia="仿宋_GB2312" w:cs="仿宋_GB2312"/>
          <w:sz w:val="32"/>
          <w:szCs w:val="32"/>
          <w:lang w:val="en-US" w:eastAsia="zh-CN"/>
        </w:rPr>
        <w:t>深入贯彻落实习近平总书记关于“三农”工作的重要论述和全国脱贫攻坚总结表彰大会上的重要讲话精神，始终把巩固拓展脱贫攻坚成果放在突出位置、作为首要任务来抓，坚持“四个不摘”，狠抓工作落实，坚决守住不发生规模性返贫的底线，切实把脱贫成果巩固住、拓展好，努力推动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 w:eastAsia="zh-CN"/>
        </w:rPr>
      </w:pPr>
      <w:r>
        <w:rPr>
          <w:rFonts w:hint="eastAsia" w:ascii="宋体" w:hAnsi="宋体" w:eastAsia="楷体_GB2312" w:cs="Times New Roman"/>
          <w:b/>
          <w:color w:val="auto"/>
          <w:sz w:val="32"/>
          <w:lang w:val="en" w:eastAsia="zh-CN"/>
        </w:rPr>
        <w:t>（四）项目满意度情况。</w:t>
      </w:r>
    </w:p>
    <w:p>
      <w:pPr>
        <w:pStyle w:val="3"/>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通过民意调查结果显示，群众对该项目的实施较为满意，满意度达</w:t>
      </w:r>
      <w:r>
        <w:rPr>
          <w:rFonts w:hint="eastAsia" w:ascii="宋体" w:hAnsi="宋体" w:eastAsia="仿宋_GB2312" w:cs="Times New Roman"/>
          <w:color w:val="auto"/>
          <w:kern w:val="2"/>
          <w:sz w:val="32"/>
          <w:szCs w:val="24"/>
          <w:lang w:val="en-US" w:eastAsia="zh-CN" w:bidi="ar-SA"/>
        </w:rPr>
        <w:t>100</w:t>
      </w:r>
      <w:r>
        <w:rPr>
          <w:rFonts w:hint="eastAsia" w:ascii="仿宋_GB2312" w:hAnsi="仿宋_GB2312" w:eastAsia="仿宋_GB2312" w:cs="仿宋_GB2312"/>
          <w:sz w:val="32"/>
          <w:szCs w:val="32"/>
          <w:lang w:val="en-US" w:eastAsia="zh-CN"/>
        </w:rPr>
        <w:t>%，项目的实施，也提升了群众对政府及干部的认可。</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五、存在的问题及不足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US" w:eastAsia="zh-CN"/>
        </w:rPr>
      </w:pPr>
      <w:r>
        <w:rPr>
          <w:rFonts w:hint="eastAsia" w:ascii="宋体" w:hAnsi="宋体" w:eastAsia="楷体_GB2312" w:cs="Times New Roman"/>
          <w:b/>
          <w:color w:val="auto"/>
          <w:sz w:val="32"/>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一是产业发展定位不够清晰，集体经济发展思路单一；二是基础设施建设短板尚存，制约乡村产业发展势头；三是群众助推发展不够积极，影响乡村发展闭环形成。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Times New Roman"/>
          <w:b/>
          <w:color w:val="auto"/>
          <w:sz w:val="32"/>
          <w:lang w:val="en-US" w:eastAsia="zh-CN"/>
        </w:rPr>
      </w:pPr>
      <w:r>
        <w:rPr>
          <w:rFonts w:hint="eastAsia" w:ascii="宋体" w:hAnsi="宋体" w:eastAsia="楷体_GB2312" w:cs="Times New Roman"/>
          <w:b/>
          <w:color w:val="auto"/>
          <w:sz w:val="32"/>
          <w:lang w:val="en-US" w:eastAsia="zh-CN"/>
        </w:rPr>
        <w:t>（二）改进措施。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按照“产业兴旺、生态宜居、乡风文明、治理有效、生活富裕”总要求，坚持以项目化管理为抓手，以富民强村兴镇为根本，以党的建设为引领，达到“串点成线、连线成面、全面覆盖”，推动城乡融合发展。</w:t>
      </w:r>
      <w:r>
        <w:rPr>
          <w:rFonts w:hint="eastAsia" w:ascii="仿宋_GB2312" w:hAnsi="仿宋_GB2312" w:eastAsia="仿宋_GB2312" w:cs="仿宋_GB2312"/>
          <w:sz w:val="32"/>
          <w:szCs w:val="32"/>
          <w:lang w:eastAsia="zh-CN"/>
        </w:rPr>
        <w:t>龙源坝镇乡村振兴项目</w:t>
      </w:r>
      <w:r>
        <w:rPr>
          <w:rFonts w:hint="eastAsia" w:ascii="仿宋_GB2312" w:hAnsi="仿宋_GB2312" w:eastAsia="仿宋_GB2312" w:cs="仿宋_GB2312"/>
          <w:sz w:val="32"/>
          <w:szCs w:val="32"/>
          <w:lang w:val="en-US" w:eastAsia="zh-CN"/>
        </w:rPr>
        <w:t>的各项指标体系均能全面完成，通过对该项目的绩效自评，也反映出了我镇在项目绩效自评工作中存在的不足之处：项目申报内容不精准，对于项目申报的内容没有一步明确、精细化。做项目申报自评时，对项目申报自评指标没有做到明确化。</w:t>
      </w:r>
    </w:p>
    <w:p>
      <w:pPr>
        <w:pStyle w:val="2"/>
        <w:numPr>
          <w:numId w:val="0"/>
        </w:numPr>
        <w:ind w:left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六、下一步工作打算</w:t>
      </w:r>
    </w:p>
    <w:p>
      <w:pPr>
        <w:pStyle w:val="3"/>
        <w:numPr>
          <w:ilvl w:val="0"/>
          <w:numId w:val="0"/>
        </w:numPr>
        <w:spacing w:line="560" w:lineRule="exact"/>
        <w:ind w:firstLine="640" w:firstLineChars="200"/>
        <w:rPr>
          <w:rFonts w:hint="eastAsia" w:ascii="仿宋" w:hAnsi="仿宋" w:eastAsia="仿宋" w:cs="仿宋"/>
          <w:color w:val="000000"/>
          <w:sz w:val="32"/>
          <w:szCs w:val="32"/>
        </w:rPr>
      </w:pPr>
      <w:r>
        <w:rPr>
          <w:rFonts w:hint="eastAsia" w:ascii="宋体" w:hAnsi="宋体" w:eastAsia="仿宋_GB2312" w:cs="Times New Roman"/>
          <w:color w:val="auto"/>
          <w:kern w:val="2"/>
          <w:sz w:val="32"/>
          <w:szCs w:val="24"/>
          <w:lang w:val="en-US" w:eastAsia="zh-CN" w:bidi="ar-SA"/>
        </w:rPr>
        <w:t>1.</w:t>
      </w:r>
      <w:r>
        <w:rPr>
          <w:rFonts w:hint="eastAsia" w:ascii="仿宋" w:hAnsi="仿宋" w:eastAsia="仿宋" w:cs="仿宋"/>
          <w:b w:val="0"/>
          <w:bCs w:val="0"/>
          <w:sz w:val="32"/>
          <w:szCs w:val="32"/>
        </w:rPr>
        <w:t>细化预算编制工作，进一步加强内设机构的预算管理意识。</w:t>
      </w:r>
      <w:r>
        <w:rPr>
          <w:rFonts w:hint="eastAsia" w:ascii="仿宋" w:hAnsi="仿宋" w:eastAsia="仿宋" w:cs="仿宋"/>
          <w:color w:val="000000"/>
          <w:sz w:val="32"/>
          <w:szCs w:val="32"/>
        </w:rPr>
        <w:t>一是要严格按照预算管理要求进行预算编制。对上年结余、本年追加，根据年度工作需要，按照年初预算编制方法进行预算编制。二是要遵循编制原则。要严格遵循预算编制口径的一贯性及可比性。预算编制要切合实际工作经费需要，尽可能的减少经费使用用途的调整，同时提高经费调整的合理性。</w:t>
      </w:r>
    </w:p>
    <w:p>
      <w:pPr>
        <w:pStyle w:val="3"/>
        <w:ind w:left="0" w:leftChars="0"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宋体" w:hAnsi="宋体" w:eastAsia="仿宋_GB2312" w:cs="Times New Roman"/>
          <w:color w:val="auto"/>
          <w:kern w:val="2"/>
          <w:sz w:val="32"/>
          <w:szCs w:val="24"/>
          <w:lang w:val="en-US" w:eastAsia="zh-CN" w:bidi="ar-SA"/>
        </w:rPr>
        <w:t>2.</w:t>
      </w:r>
      <w:r>
        <w:rPr>
          <w:rFonts w:hint="eastAsia" w:ascii="仿宋_GB2312" w:hAnsi="仿宋_GB2312" w:eastAsia="仿宋_GB2312" w:cs="仿宋_GB2312"/>
          <w:i w:val="0"/>
          <w:iCs w:val="0"/>
          <w:color w:val="000000"/>
          <w:kern w:val="0"/>
          <w:sz w:val="32"/>
          <w:szCs w:val="32"/>
          <w:u w:val="none"/>
          <w:lang w:val="en-US" w:eastAsia="zh-CN" w:bidi="ar"/>
        </w:rPr>
        <w:t>加强财务管理，增强业务知识培训。组织相关财务人员学习文件精神，进一步读懂、吃透文件要求，进一步完善工作机制，规范收支，提高资金使用效率。</w:t>
      </w:r>
    </w:p>
    <w:p>
      <w:pPr>
        <w:pStyle w:val="3"/>
        <w:ind w:left="0" w:leftChars="0" w:firstLine="0" w:firstLineChars="0"/>
        <w:jc w:val="right"/>
        <w:rPr>
          <w:rFonts w:hint="eastAsia" w:ascii="仿宋_GB2312" w:hAnsi="仿宋_GB2312" w:eastAsia="仿宋_GB2312" w:cs="仿宋_GB2312"/>
          <w:i w:val="0"/>
          <w:iCs w:val="0"/>
          <w:color w:val="000000"/>
          <w:kern w:val="0"/>
          <w:sz w:val="32"/>
          <w:szCs w:val="32"/>
          <w:u w:val="none"/>
          <w:lang w:val="en-US" w:eastAsia="zh-CN" w:bidi="ar"/>
        </w:rPr>
      </w:pPr>
    </w:p>
    <w:p>
      <w:pPr>
        <w:pStyle w:val="3"/>
        <w:ind w:left="0" w:leftChars="0" w:firstLine="0" w:firstLineChars="0"/>
        <w:jc w:val="right"/>
        <w:rPr>
          <w:rFonts w:hint="eastAsia" w:ascii="仿宋_GB2312" w:hAnsi="仿宋_GB2312" w:eastAsia="仿宋_GB2312" w:cs="仿宋_GB2312"/>
          <w:i w:val="0"/>
          <w:iCs w:val="0"/>
          <w:color w:val="000000"/>
          <w:kern w:val="0"/>
          <w:sz w:val="32"/>
          <w:szCs w:val="32"/>
          <w:u w:val="none"/>
          <w:lang w:val="en-US" w:eastAsia="zh-CN" w:bidi="ar"/>
        </w:rPr>
      </w:pPr>
    </w:p>
    <w:p>
      <w:pPr>
        <w:rPr>
          <w:rFonts w:hint="eastAsia"/>
          <w:lang w:val="en-US" w:eastAsia="zh-CN"/>
        </w:rPr>
      </w:pPr>
    </w:p>
    <w:p>
      <w:pPr>
        <w:pStyle w:val="3"/>
        <w:ind w:left="0" w:leftChars="0" w:firstLine="0" w:firstLineChars="0"/>
        <w:jc w:val="righ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全南县龙源坝镇人民政府</w:t>
      </w:r>
    </w:p>
    <w:p>
      <w:pPr>
        <w:pStyle w:val="3"/>
        <w:ind w:left="0" w:leftChars="0" w:firstLine="0" w:firstLineChars="0"/>
        <w:jc w:val="right"/>
        <w:rPr>
          <w:rFonts w:hint="default" w:ascii="仿宋_GB2312" w:hAnsi="仿宋_GB2312" w:eastAsia="仿宋_GB2312" w:cs="仿宋_GB2312"/>
          <w:i w:val="0"/>
          <w:iCs w:val="0"/>
          <w:color w:val="000000"/>
          <w:kern w:val="0"/>
          <w:sz w:val="32"/>
          <w:szCs w:val="32"/>
          <w:u w:val="none"/>
          <w:lang w:val="en-US" w:eastAsia="zh-CN" w:bidi="ar"/>
        </w:rPr>
      </w:pPr>
      <w:r>
        <w:rPr>
          <w:rFonts w:hint="eastAsia" w:ascii="宋体" w:hAnsi="宋体" w:eastAsia="仿宋_GB2312" w:cs="Times New Roman"/>
          <w:color w:val="auto"/>
          <w:kern w:val="2"/>
          <w:sz w:val="32"/>
          <w:szCs w:val="24"/>
          <w:lang w:val="en-US" w:eastAsia="zh-CN" w:bidi="ar-SA"/>
        </w:rPr>
        <w:t>2023</w:t>
      </w:r>
      <w:r>
        <w:rPr>
          <w:rFonts w:hint="eastAsia" w:ascii="仿宋_GB2312" w:hAnsi="仿宋_GB2312" w:eastAsia="仿宋_GB2312" w:cs="仿宋_GB2312"/>
          <w:i w:val="0"/>
          <w:iCs w:val="0"/>
          <w:color w:val="000000"/>
          <w:kern w:val="0"/>
          <w:sz w:val="32"/>
          <w:szCs w:val="32"/>
          <w:u w:val="none"/>
          <w:lang w:val="en-US" w:eastAsia="zh-CN" w:bidi="ar"/>
        </w:rPr>
        <w:t>年</w:t>
      </w:r>
      <w:r>
        <w:rPr>
          <w:rFonts w:hint="eastAsia" w:ascii="宋体" w:hAnsi="宋体" w:eastAsia="仿宋_GB2312" w:cs="Times New Roman"/>
          <w:color w:val="auto"/>
          <w:kern w:val="2"/>
          <w:sz w:val="32"/>
          <w:szCs w:val="24"/>
          <w:lang w:val="en-US" w:eastAsia="zh-CN" w:bidi="ar-SA"/>
        </w:rPr>
        <w:t>3</w:t>
      </w:r>
      <w:r>
        <w:rPr>
          <w:rFonts w:hint="eastAsia" w:ascii="仿宋_GB2312" w:hAnsi="仿宋_GB2312" w:eastAsia="仿宋_GB2312" w:cs="仿宋_GB2312"/>
          <w:i w:val="0"/>
          <w:iCs w:val="0"/>
          <w:color w:val="000000"/>
          <w:kern w:val="0"/>
          <w:sz w:val="32"/>
          <w:szCs w:val="32"/>
          <w:u w:val="none"/>
          <w:lang w:val="en-US" w:eastAsia="zh-CN" w:bidi="ar"/>
        </w:rPr>
        <w:t>月</w:t>
      </w:r>
      <w:r>
        <w:rPr>
          <w:rFonts w:hint="eastAsia" w:ascii="宋体" w:hAnsi="宋体" w:eastAsia="仿宋_GB2312" w:cs="Times New Roman"/>
          <w:color w:val="auto"/>
          <w:kern w:val="2"/>
          <w:sz w:val="32"/>
          <w:szCs w:val="24"/>
          <w:lang w:val="en-US" w:eastAsia="zh-CN" w:bidi="ar-SA"/>
        </w:rPr>
        <w:t>17</w:t>
      </w:r>
      <w:r>
        <w:rPr>
          <w:rFonts w:hint="eastAsia" w:ascii="仿宋_GB2312" w:hAnsi="仿宋_GB2312" w:eastAsia="仿宋_GB2312" w:cs="仿宋_GB2312"/>
          <w:i w:val="0"/>
          <w:iCs w:val="0"/>
          <w:color w:val="000000"/>
          <w:kern w:val="0"/>
          <w:sz w:val="32"/>
          <w:szCs w:val="32"/>
          <w:u w:val="non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2RiNGVlMTFlNjE1NWQ2YjI4OTE1YjU0ODlhYWMifQ=="/>
  </w:docVars>
  <w:rsids>
    <w:rsidRoot w:val="43531A6D"/>
    <w:rsid w:val="01333F6C"/>
    <w:rsid w:val="0735665A"/>
    <w:rsid w:val="08335082"/>
    <w:rsid w:val="0C1909D6"/>
    <w:rsid w:val="0D307327"/>
    <w:rsid w:val="0D8D3D06"/>
    <w:rsid w:val="0F3B0B40"/>
    <w:rsid w:val="12FE1529"/>
    <w:rsid w:val="14C30B7C"/>
    <w:rsid w:val="15DF321E"/>
    <w:rsid w:val="17236EC4"/>
    <w:rsid w:val="197913AE"/>
    <w:rsid w:val="1CAF06EA"/>
    <w:rsid w:val="1F8025E3"/>
    <w:rsid w:val="2012618B"/>
    <w:rsid w:val="237D7667"/>
    <w:rsid w:val="24D171E9"/>
    <w:rsid w:val="2D2D4A3B"/>
    <w:rsid w:val="2F3078C1"/>
    <w:rsid w:val="311F12DD"/>
    <w:rsid w:val="3B47390A"/>
    <w:rsid w:val="3E535C46"/>
    <w:rsid w:val="43531A6D"/>
    <w:rsid w:val="4391606A"/>
    <w:rsid w:val="487B377F"/>
    <w:rsid w:val="48FA1061"/>
    <w:rsid w:val="49D764F3"/>
    <w:rsid w:val="4B0C4228"/>
    <w:rsid w:val="4B1D6435"/>
    <w:rsid w:val="4E754772"/>
    <w:rsid w:val="4FB83457"/>
    <w:rsid w:val="518F21C9"/>
    <w:rsid w:val="52926FEB"/>
    <w:rsid w:val="55000440"/>
    <w:rsid w:val="57FD22F2"/>
    <w:rsid w:val="58647A21"/>
    <w:rsid w:val="5ABE5A22"/>
    <w:rsid w:val="5AC2274E"/>
    <w:rsid w:val="5AE74517"/>
    <w:rsid w:val="5AFC7E15"/>
    <w:rsid w:val="5CDD77D2"/>
    <w:rsid w:val="60D55390"/>
    <w:rsid w:val="62FB0842"/>
    <w:rsid w:val="64A859EF"/>
    <w:rsid w:val="65F17254"/>
    <w:rsid w:val="690C17FB"/>
    <w:rsid w:val="697849C8"/>
    <w:rsid w:val="6B6231B8"/>
    <w:rsid w:val="6ED945F4"/>
    <w:rsid w:val="71883CED"/>
    <w:rsid w:val="73CF2113"/>
    <w:rsid w:val="76D17FF5"/>
    <w:rsid w:val="7A737452"/>
    <w:rsid w:val="7AA42131"/>
    <w:rsid w:val="7AB6625E"/>
    <w:rsid w:val="7B214C7F"/>
    <w:rsid w:val="7B8216B9"/>
    <w:rsid w:val="7EEE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0"/>
        <w:numId w:val="1"/>
      </w:numPr>
      <w:spacing w:beforeAutospacing="0" w:afterLines="0" w:afterAutospacing="0" w:line="560" w:lineRule="exact"/>
      <w:ind w:firstLine="640" w:firstLineChars="200"/>
      <w:outlineLvl w:val="1"/>
    </w:pPr>
    <w:rPr>
      <w:rFonts w:ascii="Arial" w:hAnsi="Arial" w:eastAsia="黑体" w:cs="Times New Roma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1952</Words>
  <Characters>2013</Characters>
  <Lines>0</Lines>
  <Paragraphs>0</Paragraphs>
  <TotalTime>18</TotalTime>
  <ScaleCrop>false</ScaleCrop>
  <LinksUpToDate>false</LinksUpToDate>
  <CharactersWithSpaces>2014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2022-04-04T02:23:00Z</dcterms:created>
  <dc:creator>韭菜煎蛋</dc:creator>
  <cp:lastModifiedBy>Administrator</cp:lastModifiedBy>
  <dcterms:modified xsi:type="dcterms:W3CDTF">2023-03-20T03:42:30Z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AAE399A8A475431A8F8FC6192AAC815B</vt:lpwstr>
  </property>
</Properties>
</file>