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53" w:rsidRDefault="00033353">
      <w:pPr>
        <w:spacing w:line="420" w:lineRule="exact"/>
        <w:rPr>
          <w:rFonts w:ascii="仿宋" w:eastAsia="仿宋" w:hAnsi="仿宋"/>
          <w:sz w:val="28"/>
          <w:szCs w:val="28"/>
        </w:rPr>
      </w:pPr>
      <w:r>
        <w:rPr>
          <w:rFonts w:ascii="仿宋" w:eastAsia="仿宋" w:hAnsi="仿宋" w:hint="eastAsia"/>
          <w:sz w:val="28"/>
          <w:szCs w:val="28"/>
        </w:rPr>
        <w:t>附件4</w:t>
      </w:r>
    </w:p>
    <w:p w:rsidR="00033353" w:rsidRDefault="00033353">
      <w:pPr>
        <w:spacing w:line="4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部门整体支出绩效自评报告</w:t>
      </w:r>
    </w:p>
    <w:p w:rsidR="00033353" w:rsidRDefault="00033353">
      <w:pPr>
        <w:spacing w:line="460" w:lineRule="exact"/>
        <w:jc w:val="center"/>
        <w:rPr>
          <w:rFonts w:ascii="仿宋" w:eastAsia="仿宋" w:hAnsi="仿宋"/>
          <w:sz w:val="32"/>
          <w:szCs w:val="32"/>
        </w:rPr>
      </w:pPr>
      <w:r>
        <w:rPr>
          <w:rFonts w:ascii="仿宋" w:eastAsia="仿宋" w:hAnsi="仿宋" w:hint="eastAsia"/>
          <w:sz w:val="32"/>
          <w:szCs w:val="32"/>
        </w:rPr>
        <w:t>（</w:t>
      </w:r>
      <w:r w:rsidR="009F61EA">
        <w:rPr>
          <w:rFonts w:ascii="仿宋" w:eastAsia="仿宋" w:hAnsi="仿宋" w:hint="eastAsia"/>
          <w:sz w:val="32"/>
          <w:szCs w:val="32"/>
        </w:rPr>
        <w:t>2020年</w:t>
      </w:r>
      <w:r>
        <w:rPr>
          <w:rFonts w:ascii="仿宋" w:eastAsia="仿宋" w:hAnsi="仿宋" w:hint="eastAsia"/>
          <w:sz w:val="32"/>
          <w:szCs w:val="32"/>
        </w:rPr>
        <w:t>）</w:t>
      </w:r>
    </w:p>
    <w:p w:rsidR="00033353" w:rsidRDefault="00033353">
      <w:pPr>
        <w:spacing w:line="460" w:lineRule="exact"/>
        <w:ind w:firstLineChars="200" w:firstLine="640"/>
        <w:rPr>
          <w:rFonts w:ascii="黑体" w:eastAsia="黑体" w:hAnsi="黑体"/>
          <w:sz w:val="32"/>
          <w:szCs w:val="32"/>
        </w:rPr>
      </w:pPr>
      <w:r>
        <w:rPr>
          <w:rFonts w:ascii="黑体" w:eastAsia="黑体" w:hAnsi="黑体" w:hint="eastAsia"/>
          <w:sz w:val="32"/>
          <w:szCs w:val="32"/>
        </w:rPr>
        <w:t>一、部门概况</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（一）部门基本情况。</w:t>
      </w:r>
    </w:p>
    <w:p w:rsidR="009F61EA" w:rsidRPr="008B2F5A" w:rsidRDefault="00033353" w:rsidP="009F61EA">
      <w:pPr>
        <w:spacing w:line="420" w:lineRule="exact"/>
        <w:ind w:firstLine="630"/>
        <w:rPr>
          <w:rFonts w:ascii="仿宋" w:eastAsia="仿宋" w:hAnsi="仿宋"/>
          <w:sz w:val="32"/>
          <w:szCs w:val="32"/>
        </w:rPr>
      </w:pPr>
      <w:r>
        <w:rPr>
          <w:rFonts w:ascii="仿宋_GB2312" w:eastAsia="仿宋_GB2312" w:hAnsi="仿宋" w:hint="eastAsia"/>
          <w:sz w:val="32"/>
          <w:szCs w:val="32"/>
        </w:rPr>
        <w:t>1.</w:t>
      </w:r>
      <w:r w:rsidR="009F61EA" w:rsidRPr="009F61EA">
        <w:rPr>
          <w:rFonts w:ascii="仿宋" w:eastAsia="仿宋" w:hAnsi="仿宋" w:cs="仿宋_GB2312" w:hint="eastAsia"/>
          <w:sz w:val="32"/>
          <w:szCs w:val="32"/>
        </w:rPr>
        <w:t xml:space="preserve"> </w:t>
      </w:r>
      <w:r w:rsidR="009F61EA" w:rsidRPr="008B2F5A">
        <w:rPr>
          <w:rFonts w:ascii="仿宋" w:eastAsia="仿宋" w:hAnsi="仿宋" w:hint="eastAsia"/>
          <w:sz w:val="32"/>
          <w:szCs w:val="32"/>
        </w:rPr>
        <w:t>部门组织机构及人员</w:t>
      </w:r>
    </w:p>
    <w:p w:rsidR="00033353" w:rsidRDefault="009F61EA">
      <w:pPr>
        <w:spacing w:line="460" w:lineRule="exact"/>
        <w:ind w:firstLineChars="200" w:firstLine="640"/>
        <w:rPr>
          <w:rFonts w:ascii="仿宋_GB2312" w:eastAsia="仿宋_GB2312"/>
          <w:sz w:val="32"/>
          <w:szCs w:val="32"/>
        </w:rPr>
      </w:pPr>
      <w:r>
        <w:rPr>
          <w:rFonts w:ascii="仿宋" w:eastAsia="仿宋" w:hAnsi="仿宋" w:cs="仿宋_GB2312" w:hint="eastAsia"/>
          <w:sz w:val="32"/>
          <w:szCs w:val="32"/>
        </w:rPr>
        <w:t>部门组织机构包括教科体局机关、小学17所、中学10所、幼儿园2所（没有计算财务没有独立核算的乡镇幼儿园），全南中学、教师进修学校、职业中学</w:t>
      </w:r>
      <w:r w:rsidRPr="008B2F5A">
        <w:rPr>
          <w:rFonts w:ascii="仿宋" w:eastAsia="仿宋" w:hAnsi="仿宋" w:cs="仿宋_GB2312" w:hint="eastAsia"/>
          <w:sz w:val="32"/>
          <w:szCs w:val="32"/>
        </w:rPr>
        <w:t>，在职人数</w:t>
      </w:r>
      <w:r>
        <w:rPr>
          <w:rFonts w:ascii="仿宋" w:eastAsia="仿宋" w:hAnsi="仿宋" w:cs="仿宋_GB2312" w:hint="eastAsia"/>
          <w:sz w:val="32"/>
          <w:szCs w:val="32"/>
        </w:rPr>
        <w:t>2198人（其中</w:t>
      </w:r>
      <w:r w:rsidRPr="008B2F5A">
        <w:rPr>
          <w:rFonts w:ascii="仿宋" w:eastAsia="仿宋" w:hAnsi="仿宋" w:cs="仿宋_GB2312" w:hint="eastAsia"/>
          <w:sz w:val="32"/>
          <w:szCs w:val="32"/>
        </w:rPr>
        <w:t>行政编制</w:t>
      </w:r>
      <w:r>
        <w:rPr>
          <w:rFonts w:ascii="仿宋" w:eastAsia="仿宋" w:hAnsi="仿宋" w:cs="仿宋_GB2312" w:hint="eastAsia"/>
          <w:sz w:val="32"/>
          <w:szCs w:val="32"/>
        </w:rPr>
        <w:t>人</w:t>
      </w:r>
      <w:r w:rsidRPr="008B2F5A">
        <w:rPr>
          <w:rFonts w:ascii="仿宋" w:eastAsia="仿宋" w:hAnsi="仿宋" w:cs="仿宋_GB2312" w:hint="eastAsia"/>
          <w:sz w:val="32"/>
          <w:szCs w:val="32"/>
        </w:rPr>
        <w:t>数</w:t>
      </w:r>
      <w:r>
        <w:rPr>
          <w:rFonts w:ascii="仿宋" w:eastAsia="仿宋" w:hAnsi="仿宋" w:cs="仿宋_GB2312" w:hint="eastAsia"/>
          <w:sz w:val="32"/>
          <w:szCs w:val="32"/>
        </w:rPr>
        <w:t>8</w:t>
      </w:r>
      <w:r w:rsidRPr="008B2F5A">
        <w:rPr>
          <w:rFonts w:ascii="仿宋" w:eastAsia="仿宋" w:hAnsi="仿宋" w:cs="仿宋_GB2312" w:hint="eastAsia"/>
          <w:sz w:val="32"/>
          <w:szCs w:val="32"/>
        </w:rPr>
        <w:t>人，全部补助事业编制人数</w:t>
      </w:r>
      <w:r>
        <w:rPr>
          <w:rFonts w:ascii="仿宋" w:eastAsia="仿宋" w:hAnsi="仿宋" w:cs="仿宋_GB2312" w:hint="eastAsia"/>
          <w:sz w:val="32"/>
          <w:szCs w:val="32"/>
        </w:rPr>
        <w:t>1913</w:t>
      </w:r>
      <w:r w:rsidRPr="008B2F5A">
        <w:rPr>
          <w:rFonts w:ascii="仿宋" w:eastAsia="仿宋" w:hAnsi="仿宋" w:cs="仿宋_GB2312" w:hint="eastAsia"/>
          <w:sz w:val="32"/>
          <w:szCs w:val="32"/>
        </w:rPr>
        <w:t>人</w:t>
      </w:r>
      <w:r>
        <w:rPr>
          <w:rFonts w:ascii="仿宋" w:eastAsia="仿宋" w:hAnsi="仿宋" w:cs="仿宋_GB2312" w:hint="eastAsia"/>
          <w:sz w:val="32"/>
          <w:szCs w:val="32"/>
        </w:rPr>
        <w:t>，特岗教师132人）</w:t>
      </w:r>
      <w:r w:rsidRPr="008B2F5A">
        <w:rPr>
          <w:rFonts w:ascii="仿宋" w:eastAsia="仿宋" w:hAnsi="仿宋" w:cs="仿宋_GB2312" w:hint="eastAsia"/>
          <w:sz w:val="32"/>
          <w:szCs w:val="32"/>
        </w:rPr>
        <w:t>，外聘人员人数</w:t>
      </w:r>
      <w:r>
        <w:rPr>
          <w:rFonts w:ascii="仿宋" w:eastAsia="仿宋" w:hAnsi="仿宋" w:cs="仿宋_GB2312" w:hint="eastAsia"/>
          <w:sz w:val="32"/>
          <w:szCs w:val="32"/>
        </w:rPr>
        <w:t>232</w:t>
      </w:r>
      <w:r w:rsidRPr="008B2F5A">
        <w:rPr>
          <w:rFonts w:ascii="仿宋" w:eastAsia="仿宋" w:hAnsi="仿宋" w:cs="仿宋_GB2312" w:hint="eastAsia"/>
          <w:sz w:val="32"/>
          <w:szCs w:val="32"/>
        </w:rPr>
        <w:t>人。</w:t>
      </w:r>
      <w:r>
        <w:rPr>
          <w:rFonts w:ascii="仿宋" w:eastAsia="仿宋" w:hAnsi="仿宋" w:cs="仿宋_GB2312" w:hint="eastAsia"/>
          <w:sz w:val="32"/>
          <w:szCs w:val="32"/>
        </w:rPr>
        <w:t>省企业退休收编教师53人</w:t>
      </w:r>
      <w:r w:rsidRPr="008B2F5A">
        <w:rPr>
          <w:rFonts w:ascii="仿宋" w:eastAsia="仿宋" w:hAnsi="仿宋" w:cs="仿宋_GB2312" w:hint="eastAsia"/>
          <w:sz w:val="32"/>
          <w:szCs w:val="32"/>
        </w:rPr>
        <w:t>。</w:t>
      </w:r>
    </w:p>
    <w:p w:rsidR="00033353" w:rsidRDefault="00033353">
      <w:pPr>
        <w:spacing w:line="460" w:lineRule="exact"/>
        <w:ind w:firstLineChars="200" w:firstLine="640"/>
        <w:rPr>
          <w:rFonts w:ascii="仿宋_GB2312" w:eastAsia="仿宋_GB2312"/>
          <w:sz w:val="32"/>
          <w:szCs w:val="32"/>
        </w:rPr>
      </w:pPr>
      <w:r>
        <w:rPr>
          <w:rFonts w:ascii="仿宋_GB2312" w:eastAsia="仿宋_GB2312" w:hint="eastAsia"/>
          <w:sz w:val="32"/>
          <w:szCs w:val="32"/>
        </w:rPr>
        <w:t>2.部门组织构架、人员及资产情况。</w:t>
      </w:r>
    </w:p>
    <w:p w:rsidR="009F61EA" w:rsidRDefault="009F61EA" w:rsidP="009F61EA">
      <w:pPr>
        <w:spacing w:line="420" w:lineRule="exact"/>
        <w:ind w:left="600"/>
        <w:rPr>
          <w:rFonts w:ascii="仿宋" w:eastAsia="仿宋" w:hAnsi="仿宋"/>
          <w:sz w:val="32"/>
          <w:szCs w:val="32"/>
        </w:rPr>
      </w:pPr>
      <w:r>
        <w:rPr>
          <w:rFonts w:ascii="仿宋" w:eastAsia="仿宋" w:hAnsi="仿宋" w:hint="eastAsia"/>
          <w:sz w:val="32"/>
          <w:szCs w:val="32"/>
        </w:rPr>
        <w:t>1）日常管理</w:t>
      </w:r>
    </w:p>
    <w:p w:rsidR="009F61EA" w:rsidRPr="008B2F5A" w:rsidRDefault="009F61EA" w:rsidP="009F61EA">
      <w:pPr>
        <w:spacing w:line="420" w:lineRule="exact"/>
        <w:ind w:firstLine="640"/>
        <w:rPr>
          <w:rFonts w:ascii="仿宋" w:eastAsia="仿宋" w:hAnsi="仿宋" w:cs="仿宋_GB2312"/>
          <w:sz w:val="32"/>
          <w:szCs w:val="32"/>
        </w:rPr>
      </w:pPr>
      <w:r w:rsidRPr="008B2F5A">
        <w:rPr>
          <w:rFonts w:ascii="仿宋" w:eastAsia="仿宋" w:hAnsi="仿宋" w:cs="仿宋_GB2312" w:hint="eastAsia"/>
          <w:sz w:val="32"/>
          <w:szCs w:val="32"/>
        </w:rPr>
        <w:t>严格遵守作息制度，准时上、下班，不擅离职守，不做与工作无关的事；严格</w:t>
      </w:r>
      <w:r>
        <w:rPr>
          <w:rFonts w:ascii="仿宋" w:eastAsia="仿宋" w:hAnsi="仿宋" w:cs="仿宋_GB2312" w:hint="eastAsia"/>
          <w:sz w:val="32"/>
          <w:szCs w:val="32"/>
        </w:rPr>
        <w:t>执行请</w:t>
      </w:r>
      <w:r w:rsidRPr="008B2F5A">
        <w:rPr>
          <w:rFonts w:ascii="仿宋" w:eastAsia="仿宋" w:hAnsi="仿宋" w:cs="仿宋_GB2312" w:hint="eastAsia"/>
          <w:sz w:val="32"/>
          <w:szCs w:val="32"/>
        </w:rPr>
        <w:t>销假制度，未办理请假手续而离岗按缺勤处理；严格执行挂点制度，挂点局领导和干部对挂点学校工作的督查实行领导负责制；严格执行会议签到制度，局领导干部要准时参加局里组织的各项会议，遵守会议纪律，做到不迟到早退等。</w:t>
      </w:r>
    </w:p>
    <w:p w:rsidR="009F61EA" w:rsidRPr="008B2F5A" w:rsidRDefault="009F61EA" w:rsidP="009F61EA">
      <w:pPr>
        <w:spacing w:line="420" w:lineRule="exact"/>
        <w:ind w:left="600"/>
        <w:rPr>
          <w:rFonts w:ascii="仿宋" w:eastAsia="仿宋" w:hAnsi="仿宋"/>
          <w:sz w:val="32"/>
          <w:szCs w:val="32"/>
        </w:rPr>
      </w:pPr>
      <w:r>
        <w:rPr>
          <w:rFonts w:ascii="仿宋" w:eastAsia="仿宋" w:hAnsi="仿宋" w:hint="eastAsia"/>
          <w:sz w:val="32"/>
          <w:szCs w:val="32"/>
        </w:rPr>
        <w:t>2）</w:t>
      </w:r>
      <w:r w:rsidRPr="008B2F5A">
        <w:rPr>
          <w:rFonts w:ascii="仿宋" w:eastAsia="仿宋" w:hAnsi="仿宋" w:hint="eastAsia"/>
          <w:sz w:val="32"/>
          <w:szCs w:val="32"/>
        </w:rPr>
        <w:t>财务管理</w:t>
      </w:r>
    </w:p>
    <w:p w:rsidR="009F61EA" w:rsidRPr="008B2F5A" w:rsidRDefault="009F61EA" w:rsidP="009F61EA">
      <w:pPr>
        <w:spacing w:line="420" w:lineRule="exact"/>
        <w:ind w:firstLine="640"/>
        <w:rPr>
          <w:rFonts w:ascii="仿宋" w:eastAsia="仿宋" w:hAnsi="仿宋" w:cs="仿宋_GB2312"/>
          <w:sz w:val="32"/>
          <w:szCs w:val="32"/>
        </w:rPr>
      </w:pPr>
      <w:r w:rsidRPr="008B2F5A">
        <w:rPr>
          <w:rFonts w:ascii="仿宋" w:eastAsia="仿宋" w:hAnsi="仿宋" w:cs="仿宋_GB2312" w:hint="eastAsia"/>
          <w:sz w:val="32"/>
          <w:szCs w:val="32"/>
        </w:rPr>
        <w:t>根据单位实际情况，合理编制预决算，</w:t>
      </w:r>
      <w:r w:rsidRPr="008B2F5A">
        <w:rPr>
          <w:rFonts w:ascii="仿宋" w:eastAsia="仿宋" w:hAnsi="仿宋" w:cs="宋体" w:hint="eastAsia"/>
          <w:color w:val="000000"/>
          <w:spacing w:val="17"/>
          <w:kern w:val="0"/>
          <w:sz w:val="32"/>
          <w:szCs w:val="32"/>
        </w:rPr>
        <w:t>严格执行预算，</w:t>
      </w:r>
      <w:r w:rsidRPr="008B2F5A">
        <w:rPr>
          <w:rFonts w:ascii="仿宋" w:eastAsia="仿宋" w:hAnsi="仿宋" w:hint="eastAsia"/>
          <w:sz w:val="32"/>
          <w:szCs w:val="32"/>
        </w:rPr>
        <w:t>无预算的不予报销</w:t>
      </w:r>
      <w:r w:rsidRPr="008B2F5A">
        <w:rPr>
          <w:rFonts w:ascii="仿宋" w:eastAsia="仿宋" w:hAnsi="仿宋" w:cs="仿宋_GB2312" w:hint="eastAsia"/>
          <w:sz w:val="32"/>
          <w:szCs w:val="32"/>
        </w:rPr>
        <w:t>；</w:t>
      </w:r>
    </w:p>
    <w:p w:rsidR="009F61EA" w:rsidRPr="008B2F5A" w:rsidRDefault="009F61EA" w:rsidP="009F61EA">
      <w:pPr>
        <w:spacing w:line="420" w:lineRule="exact"/>
        <w:ind w:firstLine="640"/>
        <w:rPr>
          <w:rFonts w:ascii="仿宋" w:eastAsia="仿宋" w:hAnsi="仿宋" w:cs="仿宋_GB2312"/>
          <w:color w:val="000000"/>
          <w:spacing w:val="17"/>
          <w:kern w:val="0"/>
          <w:sz w:val="32"/>
          <w:szCs w:val="32"/>
        </w:rPr>
      </w:pPr>
      <w:r w:rsidRPr="008B2F5A">
        <w:rPr>
          <w:rFonts w:ascii="仿宋" w:eastAsia="仿宋" w:hAnsi="仿宋" w:cs="仿宋_GB2312" w:hint="eastAsia"/>
          <w:color w:val="000000"/>
          <w:spacing w:val="17"/>
          <w:kern w:val="0"/>
          <w:sz w:val="32"/>
          <w:szCs w:val="32"/>
        </w:rPr>
        <w:t>严格按照国家有关政策规定依法组织收入，各项收费严格执行国家规定的收费范围和标准，各项收入必须全部纳入预算，</w:t>
      </w:r>
      <w:r>
        <w:rPr>
          <w:rFonts w:ascii="仿宋" w:eastAsia="仿宋" w:hAnsi="仿宋" w:cs="仿宋_GB2312" w:hint="eastAsia"/>
          <w:color w:val="000000"/>
          <w:spacing w:val="17"/>
          <w:kern w:val="0"/>
          <w:sz w:val="32"/>
          <w:szCs w:val="32"/>
        </w:rPr>
        <w:t>统一核算管理，实行“收支”两条线，不得坐收坐支，不得截留、挪用。</w:t>
      </w:r>
    </w:p>
    <w:p w:rsidR="009F61EA" w:rsidRPr="008B2F5A" w:rsidRDefault="009F61EA" w:rsidP="009F61EA">
      <w:pPr>
        <w:spacing w:line="420" w:lineRule="exact"/>
        <w:ind w:firstLine="640"/>
        <w:rPr>
          <w:rFonts w:ascii="仿宋" w:eastAsia="仿宋" w:hAnsi="仿宋" w:cs="仿宋_GB2312"/>
          <w:sz w:val="32"/>
          <w:szCs w:val="32"/>
        </w:rPr>
      </w:pPr>
      <w:r w:rsidRPr="008B2F5A">
        <w:rPr>
          <w:rFonts w:ascii="仿宋" w:eastAsia="仿宋" w:hAnsi="仿宋" w:cs="宋体" w:hint="eastAsia"/>
          <w:color w:val="000000"/>
          <w:spacing w:val="17"/>
          <w:kern w:val="0"/>
          <w:sz w:val="32"/>
          <w:szCs w:val="32"/>
        </w:rPr>
        <w:t>各项支出应当严格执行国家有关财务规章制度规定的开支范围及标准，各</w:t>
      </w:r>
      <w:r w:rsidRPr="008B2F5A">
        <w:rPr>
          <w:rFonts w:ascii="仿宋" w:eastAsia="仿宋" w:hAnsi="仿宋" w:cs="仿宋_GB2312" w:hint="eastAsia"/>
          <w:color w:val="000000"/>
          <w:spacing w:val="17"/>
          <w:kern w:val="0"/>
          <w:sz w:val="32"/>
          <w:szCs w:val="32"/>
        </w:rPr>
        <w:t>项支出费用合法合理，厉行节约，确保</w:t>
      </w:r>
      <w:r>
        <w:rPr>
          <w:rFonts w:ascii="仿宋" w:eastAsia="仿宋" w:hAnsi="仿宋" w:cs="仿宋_GB2312" w:hint="eastAsia"/>
          <w:color w:val="000000"/>
          <w:spacing w:val="17"/>
          <w:kern w:val="0"/>
          <w:sz w:val="32"/>
          <w:szCs w:val="32"/>
        </w:rPr>
        <w:t>专</w:t>
      </w:r>
      <w:r w:rsidRPr="008B2F5A">
        <w:rPr>
          <w:rFonts w:ascii="仿宋" w:eastAsia="仿宋" w:hAnsi="仿宋" w:cs="仿宋_GB2312" w:hint="eastAsia"/>
          <w:color w:val="000000"/>
          <w:spacing w:val="17"/>
          <w:kern w:val="0"/>
          <w:sz w:val="32"/>
          <w:szCs w:val="32"/>
        </w:rPr>
        <w:t>款专用。严格支出审批程序，</w:t>
      </w:r>
      <w:r w:rsidRPr="008B2F5A">
        <w:rPr>
          <w:rFonts w:ascii="仿宋" w:eastAsia="仿宋" w:hAnsi="仿宋" w:cs="仿宋_GB2312" w:hint="eastAsia"/>
          <w:color w:val="333333"/>
          <w:sz w:val="32"/>
          <w:szCs w:val="32"/>
          <w:shd w:val="clear" w:color="auto" w:fill="FFFFFF"/>
        </w:rPr>
        <w:t>在资金使用审批上按照先审核后签字的原则，</w:t>
      </w:r>
      <w:r>
        <w:rPr>
          <w:rFonts w:ascii="仿宋" w:eastAsia="仿宋" w:hAnsi="仿宋" w:cs="仿宋_GB2312" w:hint="eastAsia"/>
          <w:color w:val="333333"/>
          <w:sz w:val="32"/>
          <w:szCs w:val="32"/>
          <w:shd w:val="clear" w:color="auto" w:fill="FFFFFF"/>
        </w:rPr>
        <w:t>局机关报账</w:t>
      </w:r>
      <w:r w:rsidRPr="008B2F5A">
        <w:rPr>
          <w:rFonts w:ascii="仿宋" w:eastAsia="仿宋" w:hAnsi="仿宋" w:cs="仿宋_GB2312" w:hint="eastAsia"/>
          <w:color w:val="333333"/>
          <w:sz w:val="32"/>
          <w:szCs w:val="32"/>
          <w:shd w:val="clear" w:color="auto" w:fill="FFFFFF"/>
        </w:rPr>
        <w:t>由财务股先行审核票据，合规票据交由领导审批，不合</w:t>
      </w:r>
      <w:r>
        <w:rPr>
          <w:rFonts w:ascii="仿宋" w:eastAsia="仿宋" w:hAnsi="仿宋" w:cs="仿宋_GB2312" w:hint="eastAsia"/>
          <w:color w:val="333333"/>
          <w:sz w:val="32"/>
          <w:szCs w:val="32"/>
          <w:shd w:val="clear" w:color="auto" w:fill="FFFFFF"/>
        </w:rPr>
        <w:t>规</w:t>
      </w:r>
      <w:r w:rsidRPr="008B2F5A">
        <w:rPr>
          <w:rFonts w:ascii="仿宋" w:eastAsia="仿宋" w:hAnsi="仿宋" w:cs="仿宋_GB2312" w:hint="eastAsia"/>
          <w:color w:val="333333"/>
          <w:sz w:val="32"/>
          <w:szCs w:val="32"/>
          <w:shd w:val="clear" w:color="auto" w:fill="FFFFFF"/>
        </w:rPr>
        <w:t>票据退回科室，报账统一到县</w:t>
      </w:r>
      <w:r w:rsidRPr="008B2F5A">
        <w:rPr>
          <w:rFonts w:ascii="仿宋" w:eastAsia="仿宋" w:hAnsi="仿宋" w:cs="仿宋_GB2312" w:hint="eastAsia"/>
          <w:color w:val="333333"/>
          <w:sz w:val="32"/>
          <w:szCs w:val="32"/>
          <w:shd w:val="clear" w:color="auto" w:fill="FFFFFF"/>
        </w:rPr>
        <w:lastRenderedPageBreak/>
        <w:t>国库集中支付中心进行处理。</w:t>
      </w:r>
      <w:r>
        <w:rPr>
          <w:rFonts w:ascii="仿宋" w:eastAsia="仿宋" w:hAnsi="仿宋" w:cs="仿宋_GB2312" w:hint="eastAsia"/>
          <w:color w:val="333333"/>
          <w:sz w:val="32"/>
          <w:szCs w:val="32"/>
          <w:shd w:val="clear" w:color="auto" w:fill="FFFFFF"/>
        </w:rPr>
        <w:t>各学校报账统一由局财务核算中心进行票据审核和资金支付。</w:t>
      </w:r>
    </w:p>
    <w:p w:rsidR="009F61EA" w:rsidRPr="008B2F5A" w:rsidRDefault="009F61EA" w:rsidP="009F61EA">
      <w:pPr>
        <w:spacing w:line="420" w:lineRule="exact"/>
        <w:ind w:left="600"/>
        <w:rPr>
          <w:rFonts w:ascii="仿宋" w:eastAsia="仿宋" w:hAnsi="仿宋"/>
          <w:sz w:val="32"/>
          <w:szCs w:val="32"/>
        </w:rPr>
      </w:pPr>
      <w:r>
        <w:rPr>
          <w:rFonts w:ascii="仿宋" w:eastAsia="仿宋" w:hAnsi="仿宋" w:hint="eastAsia"/>
          <w:sz w:val="32"/>
          <w:szCs w:val="32"/>
        </w:rPr>
        <w:t>3）</w:t>
      </w:r>
      <w:r w:rsidRPr="008B2F5A">
        <w:rPr>
          <w:rFonts w:ascii="仿宋" w:eastAsia="仿宋" w:hAnsi="仿宋" w:hint="eastAsia"/>
          <w:sz w:val="32"/>
          <w:szCs w:val="32"/>
        </w:rPr>
        <w:t>专项资金管理</w:t>
      </w:r>
    </w:p>
    <w:p w:rsidR="009F61EA" w:rsidRPr="008B2F5A" w:rsidRDefault="009F61EA" w:rsidP="009F61EA">
      <w:pPr>
        <w:spacing w:line="420" w:lineRule="exact"/>
        <w:ind w:firstLine="645"/>
        <w:rPr>
          <w:rFonts w:ascii="仿宋" w:eastAsia="仿宋" w:hAnsi="仿宋"/>
          <w:sz w:val="32"/>
          <w:szCs w:val="32"/>
        </w:rPr>
      </w:pPr>
      <w:r w:rsidRPr="008B2F5A">
        <w:rPr>
          <w:rFonts w:ascii="仿宋" w:eastAsia="仿宋" w:hAnsi="仿宋" w:cs="仿宋_GB2312" w:hint="eastAsia"/>
          <w:color w:val="333333"/>
          <w:sz w:val="32"/>
          <w:szCs w:val="32"/>
          <w:shd w:val="clear" w:color="auto" w:fill="FFFFFF"/>
        </w:rPr>
        <w:t>在专项资金的使用上，根据专项工作不同要求，合理分配专项资金使用，坚持专项资金使用的公开、透明。严格执行</w:t>
      </w:r>
      <w:r>
        <w:rPr>
          <w:rFonts w:ascii="仿宋" w:eastAsia="仿宋" w:hAnsi="仿宋" w:cs="仿宋_GB2312" w:hint="eastAsia"/>
          <w:color w:val="333333"/>
          <w:sz w:val="32"/>
          <w:szCs w:val="32"/>
          <w:shd w:val="clear" w:color="auto" w:fill="FFFFFF"/>
        </w:rPr>
        <w:t>专</w:t>
      </w:r>
      <w:r w:rsidRPr="008B2F5A">
        <w:rPr>
          <w:rFonts w:ascii="仿宋" w:eastAsia="仿宋" w:hAnsi="仿宋" w:cs="仿宋_GB2312" w:hint="eastAsia"/>
          <w:color w:val="333333"/>
          <w:sz w:val="32"/>
          <w:szCs w:val="32"/>
          <w:shd w:val="clear" w:color="auto" w:fill="FFFFFF"/>
        </w:rPr>
        <w:t>款专用，不得随意更改资金用途，将资金挪作他用。</w:t>
      </w:r>
    </w:p>
    <w:p w:rsidR="009F61EA" w:rsidRPr="008B2F5A" w:rsidRDefault="009F61EA" w:rsidP="009F61EA">
      <w:pPr>
        <w:spacing w:line="420" w:lineRule="exact"/>
        <w:ind w:left="600"/>
        <w:rPr>
          <w:rFonts w:ascii="仿宋" w:eastAsia="仿宋" w:hAnsi="仿宋"/>
          <w:sz w:val="32"/>
          <w:szCs w:val="32"/>
        </w:rPr>
      </w:pPr>
      <w:r>
        <w:rPr>
          <w:rFonts w:ascii="仿宋" w:eastAsia="仿宋" w:hAnsi="仿宋" w:hint="eastAsia"/>
          <w:sz w:val="32"/>
          <w:szCs w:val="32"/>
        </w:rPr>
        <w:t>4）</w:t>
      </w:r>
      <w:r w:rsidRPr="008B2F5A">
        <w:rPr>
          <w:rFonts w:ascii="仿宋" w:eastAsia="仿宋" w:hAnsi="仿宋" w:hint="eastAsia"/>
          <w:sz w:val="32"/>
          <w:szCs w:val="32"/>
        </w:rPr>
        <w:t>资产管理</w:t>
      </w:r>
    </w:p>
    <w:p w:rsidR="009F61EA" w:rsidRPr="008B2F5A" w:rsidRDefault="009F61EA" w:rsidP="009F61EA">
      <w:pPr>
        <w:spacing w:line="420" w:lineRule="exact"/>
        <w:rPr>
          <w:rFonts w:ascii="仿宋" w:eastAsia="仿宋" w:hAnsi="仿宋" w:cs="仿宋_GB2312"/>
          <w:sz w:val="32"/>
          <w:szCs w:val="32"/>
        </w:rPr>
      </w:pPr>
      <w:r w:rsidRPr="008B2F5A">
        <w:rPr>
          <w:rFonts w:ascii="仿宋" w:eastAsia="仿宋" w:hAnsi="仿宋" w:hint="eastAsia"/>
          <w:sz w:val="32"/>
          <w:szCs w:val="32"/>
        </w:rPr>
        <w:t xml:space="preserve">    </w:t>
      </w:r>
      <w:r w:rsidRPr="008B2F5A">
        <w:rPr>
          <w:rFonts w:ascii="仿宋" w:eastAsia="仿宋" w:hAnsi="仿宋" w:cs="仿宋_GB2312" w:hint="eastAsia"/>
          <w:sz w:val="32"/>
          <w:szCs w:val="32"/>
        </w:rPr>
        <w:t>固定资产指定专人管理，登记造册，建好卡片，形成电子档案。每年</w:t>
      </w:r>
      <w:r w:rsidRPr="008B2F5A">
        <w:rPr>
          <w:rFonts w:ascii="仿宋" w:eastAsia="仿宋" w:hAnsi="仿宋" w:hint="eastAsia"/>
          <w:sz w:val="32"/>
          <w:szCs w:val="32"/>
        </w:rPr>
        <w:t>要定期进行固定资产清查，保证固定资产账实相符。对于固定资产的报废处理，要严格按照固定资产报废程序进行处理，残值收入要依据收入管理办法</w:t>
      </w:r>
      <w:r w:rsidRPr="008B2F5A">
        <w:rPr>
          <w:rFonts w:ascii="仿宋" w:eastAsia="仿宋" w:hAnsi="仿宋" w:cs="仿宋_GB2312" w:hint="eastAsia"/>
          <w:color w:val="000000"/>
          <w:spacing w:val="17"/>
          <w:kern w:val="0"/>
          <w:sz w:val="32"/>
          <w:szCs w:val="32"/>
        </w:rPr>
        <w:t>纳入预算，统一核算管理。</w:t>
      </w:r>
    </w:p>
    <w:p w:rsidR="009F61EA" w:rsidRPr="008B2F5A" w:rsidRDefault="009F61EA" w:rsidP="009F61EA">
      <w:pPr>
        <w:spacing w:line="420" w:lineRule="exact"/>
        <w:ind w:left="600"/>
        <w:rPr>
          <w:rFonts w:ascii="仿宋" w:eastAsia="仿宋" w:hAnsi="仿宋"/>
          <w:sz w:val="32"/>
          <w:szCs w:val="32"/>
        </w:rPr>
      </w:pPr>
      <w:r>
        <w:rPr>
          <w:rFonts w:ascii="仿宋" w:eastAsia="仿宋" w:hAnsi="仿宋" w:hint="eastAsia"/>
          <w:sz w:val="32"/>
          <w:szCs w:val="32"/>
        </w:rPr>
        <w:t>5）</w:t>
      </w:r>
      <w:r w:rsidRPr="008B2F5A">
        <w:rPr>
          <w:rFonts w:ascii="仿宋" w:eastAsia="仿宋" w:hAnsi="仿宋" w:hint="eastAsia"/>
          <w:sz w:val="32"/>
          <w:szCs w:val="32"/>
        </w:rPr>
        <w:t>档案管理</w:t>
      </w:r>
    </w:p>
    <w:p w:rsidR="009F61EA" w:rsidRDefault="009F61EA" w:rsidP="009F61EA">
      <w:pPr>
        <w:spacing w:line="460" w:lineRule="exact"/>
        <w:ind w:firstLineChars="200" w:firstLine="640"/>
        <w:rPr>
          <w:rFonts w:ascii="仿宋_GB2312" w:eastAsia="仿宋_GB2312" w:hAnsi="仿宋"/>
          <w:sz w:val="32"/>
          <w:szCs w:val="32"/>
        </w:rPr>
      </w:pPr>
      <w:r w:rsidRPr="008B2F5A">
        <w:rPr>
          <w:rFonts w:ascii="仿宋" w:eastAsia="仿宋" w:hAnsi="仿宋" w:cs="仿宋_GB2312" w:hint="eastAsia"/>
          <w:sz w:val="32"/>
          <w:szCs w:val="32"/>
        </w:rPr>
        <w:t>人事档案由机关</w:t>
      </w:r>
      <w:r>
        <w:rPr>
          <w:rFonts w:ascii="仿宋" w:eastAsia="仿宋" w:hAnsi="仿宋" w:cs="仿宋_GB2312" w:hint="eastAsia"/>
          <w:sz w:val="32"/>
          <w:szCs w:val="32"/>
        </w:rPr>
        <w:t>人秘股和</w:t>
      </w:r>
      <w:r w:rsidRPr="008B2F5A">
        <w:rPr>
          <w:rFonts w:ascii="仿宋" w:eastAsia="仿宋" w:hAnsi="仿宋" w:cs="仿宋_GB2312" w:hint="eastAsia"/>
          <w:sz w:val="32"/>
          <w:szCs w:val="32"/>
        </w:rPr>
        <w:t>档案室统一进行保管和管理，学校会计档案每年年底由局财务核算中心移交给学校进行保管，局机关会计档案由局</w:t>
      </w:r>
      <w:r>
        <w:rPr>
          <w:rFonts w:ascii="仿宋" w:eastAsia="仿宋" w:hAnsi="仿宋" w:cs="仿宋_GB2312" w:hint="eastAsia"/>
          <w:sz w:val="32"/>
          <w:szCs w:val="32"/>
        </w:rPr>
        <w:t>档案室</w:t>
      </w:r>
      <w:r w:rsidRPr="008B2F5A">
        <w:rPr>
          <w:rFonts w:ascii="仿宋" w:eastAsia="仿宋" w:hAnsi="仿宋" w:cs="仿宋_GB2312" w:hint="eastAsia"/>
          <w:sz w:val="32"/>
          <w:szCs w:val="32"/>
        </w:rPr>
        <w:t>进行管理。</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（二）当年部门履职情况。</w:t>
      </w:r>
    </w:p>
    <w:p w:rsidR="00033353" w:rsidRDefault="00033353">
      <w:pPr>
        <w:spacing w:line="460" w:lineRule="exact"/>
        <w:ind w:firstLineChars="200" w:firstLine="640"/>
        <w:rPr>
          <w:rFonts w:ascii="仿宋_GB2312" w:eastAsia="仿宋_GB2312" w:hAnsi="仿宋"/>
          <w:sz w:val="32"/>
          <w:szCs w:val="32"/>
        </w:rPr>
      </w:pPr>
      <w:r>
        <w:rPr>
          <w:rFonts w:ascii="仿宋_GB2312" w:eastAsia="仿宋_GB2312" w:hAnsi="仿宋" w:hint="eastAsia"/>
          <w:sz w:val="32"/>
          <w:szCs w:val="32"/>
        </w:rPr>
        <w:t>1.总体目标</w:t>
      </w:r>
    </w:p>
    <w:p w:rsidR="00644046" w:rsidRDefault="00644046" w:rsidP="00644046">
      <w:pPr>
        <w:spacing w:line="460" w:lineRule="exact"/>
        <w:ind w:firstLineChars="200" w:firstLine="640"/>
        <w:rPr>
          <w:rFonts w:ascii="仿宋" w:eastAsia="仿宋" w:hAnsi="仿宋" w:cs="仿宋_GB2312"/>
          <w:sz w:val="32"/>
          <w:szCs w:val="32"/>
        </w:rPr>
      </w:pPr>
      <w:r w:rsidRPr="008B2F5A">
        <w:rPr>
          <w:rFonts w:ascii="仿宋" w:eastAsia="仿宋" w:hAnsi="仿宋" w:cs="仿宋_GB2312" w:hint="eastAsia"/>
          <w:sz w:val="32"/>
          <w:szCs w:val="32"/>
        </w:rPr>
        <w:t>贯彻执行党和国家的教育</w:t>
      </w:r>
      <w:r>
        <w:rPr>
          <w:rFonts w:ascii="仿宋" w:eastAsia="仿宋" w:hAnsi="仿宋" w:cs="仿宋_GB2312" w:hint="eastAsia"/>
          <w:sz w:val="32"/>
          <w:szCs w:val="32"/>
        </w:rPr>
        <w:t>科技</w:t>
      </w:r>
      <w:r w:rsidRPr="008B2F5A">
        <w:rPr>
          <w:rFonts w:ascii="仿宋" w:eastAsia="仿宋" w:hAnsi="仿宋" w:cs="仿宋_GB2312" w:hint="eastAsia"/>
          <w:sz w:val="32"/>
          <w:szCs w:val="32"/>
        </w:rPr>
        <w:t>体育工作的方针、政策、法律和有关教育行政法规。负责组织落实全县教育</w:t>
      </w:r>
      <w:r>
        <w:rPr>
          <w:rFonts w:ascii="仿宋" w:eastAsia="仿宋" w:hAnsi="仿宋" w:cs="仿宋_GB2312" w:hint="eastAsia"/>
          <w:sz w:val="32"/>
          <w:szCs w:val="32"/>
        </w:rPr>
        <w:t>科技</w:t>
      </w:r>
      <w:r w:rsidRPr="008B2F5A">
        <w:rPr>
          <w:rFonts w:ascii="仿宋" w:eastAsia="仿宋" w:hAnsi="仿宋" w:cs="仿宋_GB2312" w:hint="eastAsia"/>
          <w:sz w:val="32"/>
          <w:szCs w:val="32"/>
        </w:rPr>
        <w:t>体育各项工作。承办县委、县政府交办的其他有关工作。</w:t>
      </w:r>
    </w:p>
    <w:p w:rsidR="0012257A" w:rsidRDefault="00033353" w:rsidP="0012257A">
      <w:pPr>
        <w:spacing w:line="460" w:lineRule="exact"/>
        <w:ind w:firstLineChars="200" w:firstLine="640"/>
        <w:rPr>
          <w:rFonts w:ascii="楷体" w:eastAsia="楷体" w:hAnsi="楷体" w:cs="楷体"/>
          <w:b/>
          <w:bCs/>
          <w:sz w:val="32"/>
          <w:szCs w:val="32"/>
        </w:rPr>
      </w:pPr>
      <w:r>
        <w:rPr>
          <w:rFonts w:ascii="仿宋_GB2312" w:eastAsia="仿宋_GB2312" w:hAnsi="仿宋" w:hint="eastAsia"/>
          <w:sz w:val="32"/>
          <w:szCs w:val="32"/>
        </w:rPr>
        <w:t>2.工作任务</w:t>
      </w:r>
    </w:p>
    <w:p w:rsidR="0012257A" w:rsidRPr="001F6335" w:rsidRDefault="0012257A" w:rsidP="0012257A">
      <w:pPr>
        <w:adjustRightInd w:val="0"/>
        <w:snapToGrid w:val="0"/>
        <w:spacing w:line="420" w:lineRule="exact"/>
        <w:ind w:firstLine="641"/>
        <w:rPr>
          <w:rFonts w:ascii="仿宋" w:eastAsia="仿宋" w:hAnsi="仿宋" w:cs="仿宋_GB2312"/>
          <w:color w:val="000000"/>
          <w:sz w:val="32"/>
          <w:szCs w:val="32"/>
        </w:rPr>
      </w:pPr>
      <w:r w:rsidRPr="001F6335">
        <w:rPr>
          <w:rFonts w:ascii="仿宋" w:eastAsia="仿宋" w:hAnsi="仿宋" w:cs="仿宋_GB2312" w:hint="eastAsia"/>
          <w:color w:val="000000"/>
          <w:sz w:val="32"/>
          <w:szCs w:val="32"/>
        </w:rPr>
        <w:t>在县委、县政府的正确领导及市教育</w:t>
      </w:r>
      <w:r>
        <w:rPr>
          <w:rFonts w:ascii="仿宋" w:eastAsia="仿宋" w:hAnsi="仿宋" w:cs="仿宋_GB2312" w:hint="eastAsia"/>
          <w:color w:val="000000"/>
          <w:sz w:val="32"/>
          <w:szCs w:val="32"/>
        </w:rPr>
        <w:t>、科技、体育</w:t>
      </w:r>
      <w:r w:rsidRPr="001F6335">
        <w:rPr>
          <w:rFonts w:ascii="仿宋" w:eastAsia="仿宋" w:hAnsi="仿宋" w:cs="仿宋_GB2312" w:hint="eastAsia"/>
          <w:color w:val="000000"/>
          <w:sz w:val="32"/>
          <w:szCs w:val="32"/>
        </w:rPr>
        <w:t>主管部门大力支持下，我局团结带领教育系统全体干部职工，按照“重塑教育新形象的目标，突出义务教育均衡发展的重点，提升教学教研及学校管理水平，推进校建工程、师资队伍、平安校园三项建设”的思路，锐意进取，扎实工作，各项工作取得了一定成效。</w:t>
      </w:r>
    </w:p>
    <w:p w:rsidR="0012257A" w:rsidRPr="001F6335" w:rsidRDefault="0012257A" w:rsidP="0012257A">
      <w:pPr>
        <w:adjustRightInd w:val="0"/>
        <w:snapToGrid w:val="0"/>
        <w:ind w:firstLineChars="200" w:firstLine="640"/>
        <w:rPr>
          <w:rFonts w:ascii="仿宋" w:eastAsia="仿宋" w:hAnsi="仿宋" w:cs="仿宋_GB2312"/>
          <w:sz w:val="32"/>
          <w:szCs w:val="32"/>
        </w:rPr>
      </w:pPr>
      <w:r w:rsidRPr="001F6335">
        <w:rPr>
          <w:rFonts w:ascii="仿宋" w:eastAsia="仿宋" w:hAnsi="仿宋" w:hint="eastAsia"/>
          <w:sz w:val="32"/>
          <w:szCs w:val="32"/>
        </w:rPr>
        <w:t>积极加强师资队伍建设。</w:t>
      </w:r>
      <w:r w:rsidRPr="001F6335">
        <w:rPr>
          <w:rFonts w:ascii="仿宋" w:eastAsia="仿宋" w:hAnsi="仿宋" w:cs="仿宋_GB2312" w:hint="eastAsia"/>
          <w:bCs/>
          <w:snapToGrid w:val="0"/>
          <w:color w:val="000000"/>
          <w:kern w:val="0"/>
          <w:sz w:val="32"/>
          <w:szCs w:val="32"/>
        </w:rPr>
        <w:t>一是</w:t>
      </w:r>
      <w:r w:rsidRPr="001F6335">
        <w:rPr>
          <w:rFonts w:ascii="仿宋" w:eastAsia="仿宋" w:hAnsi="仿宋" w:cs="仿宋_GB2312" w:hint="eastAsia"/>
          <w:kern w:val="10"/>
          <w:sz w:val="32"/>
          <w:szCs w:val="32"/>
        </w:rPr>
        <w:t>优化师资队伍。20</w:t>
      </w:r>
      <w:r>
        <w:rPr>
          <w:rFonts w:ascii="仿宋" w:eastAsia="仿宋" w:hAnsi="仿宋" w:cs="仿宋_GB2312" w:hint="eastAsia"/>
          <w:kern w:val="10"/>
          <w:sz w:val="32"/>
          <w:szCs w:val="32"/>
        </w:rPr>
        <w:t>20</w:t>
      </w:r>
      <w:r w:rsidRPr="001F6335">
        <w:rPr>
          <w:rFonts w:ascii="仿宋" w:eastAsia="仿宋" w:hAnsi="仿宋" w:cs="仿宋_GB2312" w:hint="eastAsia"/>
          <w:kern w:val="10"/>
          <w:sz w:val="32"/>
          <w:szCs w:val="32"/>
        </w:rPr>
        <w:t>年共招聘教师</w:t>
      </w:r>
      <w:r>
        <w:rPr>
          <w:rFonts w:ascii="仿宋" w:eastAsia="仿宋" w:hAnsi="仿宋" w:cs="仿宋_GB2312" w:hint="eastAsia"/>
          <w:kern w:val="10"/>
          <w:sz w:val="32"/>
          <w:szCs w:val="32"/>
        </w:rPr>
        <w:t>190</w:t>
      </w:r>
      <w:r w:rsidRPr="001F6335">
        <w:rPr>
          <w:rFonts w:ascii="仿宋" w:eastAsia="仿宋" w:hAnsi="仿宋" w:cs="仿宋_GB2312" w:hint="eastAsia"/>
          <w:kern w:val="10"/>
          <w:sz w:val="32"/>
          <w:szCs w:val="32"/>
        </w:rPr>
        <w:t>名（含定向培养师范生</w:t>
      </w:r>
      <w:r>
        <w:rPr>
          <w:rFonts w:ascii="仿宋" w:eastAsia="仿宋" w:hAnsi="仿宋" w:cs="仿宋_GB2312" w:hint="eastAsia"/>
          <w:kern w:val="10"/>
          <w:sz w:val="32"/>
          <w:szCs w:val="32"/>
        </w:rPr>
        <w:t>20</w:t>
      </w:r>
      <w:r w:rsidRPr="001F6335">
        <w:rPr>
          <w:rFonts w:ascii="仿宋" w:eastAsia="仿宋" w:hAnsi="仿宋" w:cs="仿宋_GB2312" w:hint="eastAsia"/>
          <w:kern w:val="10"/>
          <w:sz w:val="32"/>
          <w:szCs w:val="32"/>
        </w:rPr>
        <w:t>人</w:t>
      </w:r>
      <w:r>
        <w:rPr>
          <w:rFonts w:ascii="仿宋" w:eastAsia="仿宋" w:hAnsi="仿宋" w:cs="仿宋_GB2312" w:hint="eastAsia"/>
          <w:kern w:val="10"/>
          <w:sz w:val="32"/>
          <w:szCs w:val="32"/>
        </w:rPr>
        <w:t>,特岗教师46人</w:t>
      </w:r>
      <w:r w:rsidRPr="001F6335">
        <w:rPr>
          <w:rFonts w:ascii="仿宋" w:eastAsia="仿宋" w:hAnsi="仿宋" w:cs="仿宋_GB2312" w:hint="eastAsia"/>
          <w:kern w:val="10"/>
          <w:sz w:val="32"/>
          <w:szCs w:val="32"/>
        </w:rPr>
        <w:t>），为师资队伍注入了“新鲜血液”，改善了队伍专业、性别、年龄结构。</w:t>
      </w:r>
      <w:r w:rsidRPr="001F6335">
        <w:rPr>
          <w:rFonts w:ascii="仿宋" w:eastAsia="仿宋" w:hAnsi="仿宋" w:cs="仿宋_GB2312" w:hint="eastAsia"/>
          <w:bCs/>
          <w:kern w:val="10"/>
          <w:sz w:val="32"/>
          <w:szCs w:val="32"/>
        </w:rPr>
        <w:t>二是</w:t>
      </w:r>
      <w:r w:rsidRPr="001F6335">
        <w:rPr>
          <w:rFonts w:ascii="仿宋" w:eastAsia="仿宋" w:hAnsi="仿宋" w:cs="仿宋_GB2312" w:hint="eastAsia"/>
          <w:kern w:val="10"/>
          <w:sz w:val="32"/>
          <w:szCs w:val="32"/>
        </w:rPr>
        <w:t>强化政策保障。制订出台了《关于全面深化新时代教师队伍建设改革的实施意见（试行）》《全南县“名师”管理实施细则（试行）》等文件，通过政策支持、资金倾斜等措施，切实加强师资队伍建设。</w:t>
      </w:r>
    </w:p>
    <w:p w:rsidR="00033353" w:rsidRDefault="0012257A" w:rsidP="0012257A">
      <w:pPr>
        <w:spacing w:line="460" w:lineRule="exact"/>
        <w:ind w:firstLineChars="200" w:firstLine="640"/>
        <w:rPr>
          <w:rFonts w:ascii="楷体" w:eastAsia="楷体" w:hAnsi="楷体" w:cs="楷体"/>
          <w:b/>
          <w:bCs/>
          <w:sz w:val="32"/>
          <w:szCs w:val="32"/>
        </w:rPr>
      </w:pPr>
      <w:r w:rsidRPr="001F6335">
        <w:rPr>
          <w:rFonts w:ascii="仿宋" w:eastAsia="仿宋" w:hAnsi="仿宋" w:cs="楷体_GB2312" w:hint="eastAsia"/>
          <w:bCs/>
          <w:snapToGrid w:val="0"/>
          <w:color w:val="000000"/>
          <w:kern w:val="0"/>
          <w:sz w:val="32"/>
          <w:szCs w:val="32"/>
        </w:rPr>
        <w:t>切实加强校园安全宣传教育。</w:t>
      </w:r>
      <w:r w:rsidRPr="001F6335">
        <w:rPr>
          <w:rFonts w:ascii="仿宋" w:eastAsia="仿宋" w:hAnsi="仿宋" w:hint="eastAsia"/>
          <w:color w:val="000000"/>
          <w:sz w:val="32"/>
          <w:szCs w:val="32"/>
        </w:rPr>
        <w:t>一是</w:t>
      </w:r>
      <w:r w:rsidRPr="001F6335">
        <w:rPr>
          <w:rStyle w:val="newss1"/>
          <w:rFonts w:ascii="仿宋" w:eastAsia="仿宋" w:hAnsi="仿宋" w:cs="仿宋_GB2312" w:hint="eastAsia"/>
          <w:sz w:val="32"/>
          <w:szCs w:val="32"/>
        </w:rPr>
        <w:t>加强安全教育，通过主题班会、国旗下讲话、板报宣传等形式着力加强防溺水、道路交通、食品卫生等宣传教育，增强广大师生的安全意识。</w:t>
      </w:r>
      <w:r w:rsidRPr="001F6335">
        <w:rPr>
          <w:rStyle w:val="newss1"/>
          <w:rFonts w:ascii="仿宋" w:eastAsia="仿宋" w:hAnsi="仿宋" w:cs="仿宋_GB2312" w:hint="eastAsia"/>
          <w:bCs/>
          <w:sz w:val="32"/>
          <w:szCs w:val="32"/>
        </w:rPr>
        <w:t>二是</w:t>
      </w:r>
      <w:r w:rsidRPr="001F6335">
        <w:rPr>
          <w:rStyle w:val="newss1"/>
          <w:rFonts w:ascii="仿宋" w:eastAsia="仿宋" w:hAnsi="仿宋" w:cs="仿宋_GB2312" w:hint="eastAsia"/>
          <w:sz w:val="32"/>
          <w:szCs w:val="32"/>
        </w:rPr>
        <w:t>积极开展应急演练，</w:t>
      </w:r>
      <w:r w:rsidRPr="001F6335">
        <w:rPr>
          <w:rFonts w:ascii="仿宋" w:eastAsia="仿宋" w:hAnsi="仿宋" w:hint="eastAsia"/>
          <w:snapToGrid w:val="0"/>
          <w:kern w:val="0"/>
          <w:sz w:val="32"/>
          <w:szCs w:val="32"/>
        </w:rPr>
        <w:t>上好安全教育“第一课”，积极组织开展应急疏散等安全演练活动，进一步提升师生应急防范及处置能力。</w:t>
      </w:r>
      <w:r w:rsidRPr="001F6335">
        <w:rPr>
          <w:rFonts w:ascii="仿宋" w:eastAsia="仿宋" w:hAnsi="仿宋" w:hint="eastAsia"/>
          <w:bCs/>
          <w:snapToGrid w:val="0"/>
          <w:kern w:val="0"/>
          <w:sz w:val="32"/>
          <w:szCs w:val="32"/>
        </w:rPr>
        <w:t>三是</w:t>
      </w:r>
      <w:r w:rsidRPr="001F6335">
        <w:rPr>
          <w:rStyle w:val="newss1"/>
          <w:rFonts w:ascii="仿宋" w:eastAsia="仿宋" w:hAnsi="仿宋" w:cs="仿宋_GB2312" w:hint="eastAsia"/>
          <w:sz w:val="32"/>
          <w:szCs w:val="32"/>
        </w:rPr>
        <w:t>加强校园巡</w:t>
      </w:r>
      <w:r w:rsidRPr="001F6335">
        <w:rPr>
          <w:rFonts w:ascii="仿宋" w:eastAsia="仿宋" w:hAnsi="仿宋" w:hint="eastAsia"/>
          <w:color w:val="000000"/>
          <w:sz w:val="32"/>
          <w:szCs w:val="32"/>
        </w:rPr>
        <w:t>查，强化门卫管理，严格落实值班责任制，确保校园安全。四是</w:t>
      </w:r>
      <w:r w:rsidRPr="001F6335">
        <w:rPr>
          <w:rFonts w:ascii="仿宋" w:eastAsia="仿宋" w:hAnsi="仿宋" w:hint="eastAsia"/>
          <w:snapToGrid w:val="0"/>
          <w:sz w:val="32"/>
          <w:szCs w:val="32"/>
        </w:rPr>
        <w:t>加强信访维稳，贯彻落实“1+3”维稳责任制，切实加强重点信访人员思想疏导工作，防范越级上访行为的发生。通过全系统上下共同努力，一年来未发生一起安全事故。</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（三）当年部门年度整体支出绩效目标。</w:t>
      </w:r>
    </w:p>
    <w:p w:rsidR="00644046" w:rsidRPr="005B5793" w:rsidRDefault="00644046" w:rsidP="00644046">
      <w:pPr>
        <w:spacing w:line="460" w:lineRule="exact"/>
        <w:ind w:firstLineChars="200" w:firstLine="640"/>
        <w:rPr>
          <w:rFonts w:ascii="仿宋" w:eastAsia="仿宋" w:hAnsi="仿宋"/>
          <w:sz w:val="32"/>
          <w:szCs w:val="32"/>
        </w:rPr>
      </w:pPr>
      <w:r w:rsidRPr="005B5793">
        <w:rPr>
          <w:rFonts w:ascii="仿宋" w:eastAsia="仿宋" w:hAnsi="仿宋" w:hint="eastAsia"/>
          <w:sz w:val="32"/>
          <w:szCs w:val="32"/>
        </w:rPr>
        <w:t>目标1：开展教育教学改革，着力提升各学校、幼儿园日常管理水平，通过完善绩效考核、综合考评、教育教学奖励办法等制度和方案，加强管理。</w:t>
      </w:r>
    </w:p>
    <w:p w:rsidR="00644046" w:rsidRPr="005B5793" w:rsidRDefault="00644046" w:rsidP="00644046">
      <w:pPr>
        <w:spacing w:line="460" w:lineRule="exact"/>
        <w:ind w:firstLineChars="200" w:firstLine="640"/>
        <w:rPr>
          <w:rFonts w:ascii="仿宋" w:eastAsia="仿宋" w:hAnsi="仿宋"/>
          <w:sz w:val="32"/>
          <w:szCs w:val="32"/>
        </w:rPr>
      </w:pPr>
      <w:r w:rsidRPr="005B5793">
        <w:rPr>
          <w:rFonts w:ascii="仿宋" w:eastAsia="仿宋" w:hAnsi="仿宋" w:hint="eastAsia"/>
          <w:sz w:val="32"/>
          <w:szCs w:val="32"/>
        </w:rPr>
        <w:t>目标2：利用好师资培训经费，对接“国培计划”，通过开展各项教师培训活动，加强教师队伍建设。</w:t>
      </w:r>
    </w:p>
    <w:p w:rsidR="00644046" w:rsidRPr="005B5793" w:rsidRDefault="00644046" w:rsidP="00644046">
      <w:pPr>
        <w:spacing w:line="460" w:lineRule="exact"/>
        <w:ind w:firstLineChars="200" w:firstLine="640"/>
        <w:rPr>
          <w:rFonts w:ascii="仿宋" w:eastAsia="仿宋" w:hAnsi="仿宋"/>
          <w:sz w:val="32"/>
          <w:szCs w:val="32"/>
        </w:rPr>
      </w:pPr>
      <w:r w:rsidRPr="005B5793">
        <w:rPr>
          <w:rFonts w:ascii="仿宋" w:eastAsia="仿宋" w:hAnsi="仿宋" w:hint="eastAsia"/>
          <w:sz w:val="32"/>
          <w:szCs w:val="32"/>
        </w:rPr>
        <w:t xml:space="preserve">目标3：大力推进桃江新区学校和第三公办幼儿园规划建设。                                                           </w:t>
      </w:r>
    </w:p>
    <w:p w:rsidR="00644046" w:rsidRPr="005B5793" w:rsidRDefault="00644046" w:rsidP="00644046">
      <w:pPr>
        <w:spacing w:line="460" w:lineRule="exact"/>
        <w:ind w:firstLineChars="200" w:firstLine="640"/>
        <w:rPr>
          <w:rFonts w:ascii="仿宋" w:eastAsia="仿宋" w:hAnsi="仿宋" w:cs="楷体"/>
          <w:b/>
          <w:bCs/>
          <w:sz w:val="32"/>
          <w:szCs w:val="32"/>
        </w:rPr>
      </w:pPr>
      <w:r w:rsidRPr="005B5793">
        <w:rPr>
          <w:rFonts w:ascii="仿宋" w:eastAsia="仿宋" w:hAnsi="仿宋" w:hint="eastAsia"/>
          <w:sz w:val="32"/>
          <w:szCs w:val="32"/>
        </w:rPr>
        <w:t>目标4：按照省市补助条件及要求，完成国家助学金、免学费补助、高考奖励金等奖助学金的发放工作，义务教育贫困寄宿生生活补助发放到位。</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（四）部门预算绩效管理开展情况。</w:t>
      </w:r>
    </w:p>
    <w:p w:rsidR="00737FB2" w:rsidRDefault="00737FB2" w:rsidP="00737FB2">
      <w:pPr>
        <w:spacing w:line="460" w:lineRule="exact"/>
        <w:ind w:firstLineChars="200" w:firstLine="640"/>
        <w:rPr>
          <w:rFonts w:ascii="楷体" w:eastAsia="楷体" w:hAnsi="楷体" w:cs="楷体"/>
          <w:b/>
          <w:bCs/>
          <w:sz w:val="32"/>
          <w:szCs w:val="32"/>
        </w:rPr>
      </w:pPr>
      <w:r w:rsidRPr="009D562D">
        <w:rPr>
          <w:rFonts w:ascii="仿宋" w:eastAsia="仿宋" w:hAnsi="仿宋" w:cs="仿宋_GB2312" w:hint="eastAsia"/>
          <w:sz w:val="32"/>
          <w:szCs w:val="32"/>
        </w:rPr>
        <w:t>一是各项支出严格按照预算额度进行控制，努力节约经费；二是各项工作均能够按时完成，且质量较高；三是部门整体支出使用效果达到了预期。</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（五）当年部门预算及执行情况。</w:t>
      </w:r>
    </w:p>
    <w:p w:rsidR="005B5793" w:rsidRDefault="00033353">
      <w:pPr>
        <w:spacing w:line="460" w:lineRule="exact"/>
        <w:ind w:firstLineChars="200" w:firstLine="640"/>
        <w:rPr>
          <w:rFonts w:ascii="仿宋" w:eastAsia="仿宋" w:hAnsi="仿宋" w:hint="eastAsia"/>
          <w:sz w:val="32"/>
          <w:szCs w:val="32"/>
        </w:rPr>
      </w:pPr>
      <w:r w:rsidRPr="005B5793">
        <w:rPr>
          <w:rFonts w:ascii="仿宋" w:eastAsia="仿宋" w:hAnsi="仿宋" w:hint="eastAsia"/>
          <w:sz w:val="32"/>
          <w:szCs w:val="32"/>
        </w:rPr>
        <w:t>2020年初县财政局批复我单位部门预算支出</w:t>
      </w:r>
      <w:r w:rsidR="005B5793">
        <w:rPr>
          <w:rFonts w:ascii="仿宋" w:eastAsia="仿宋" w:hAnsi="仿宋" w:hint="eastAsia"/>
          <w:sz w:val="32"/>
          <w:szCs w:val="32"/>
        </w:rPr>
        <w:t>24108.21</w:t>
      </w:r>
      <w:r w:rsidRPr="005B5793">
        <w:rPr>
          <w:rFonts w:ascii="仿宋" w:eastAsia="仿宋" w:hAnsi="仿宋" w:hint="eastAsia"/>
          <w:sz w:val="32"/>
          <w:szCs w:val="32"/>
        </w:rPr>
        <w:t>万元，年度预算调整</w:t>
      </w:r>
      <w:r w:rsidR="005B5793">
        <w:rPr>
          <w:rFonts w:ascii="仿宋" w:eastAsia="仿宋" w:hAnsi="仿宋" w:hint="eastAsia"/>
          <w:sz w:val="32"/>
          <w:szCs w:val="32"/>
        </w:rPr>
        <w:t>32331.61</w:t>
      </w:r>
      <w:r w:rsidRPr="005B5793">
        <w:rPr>
          <w:rFonts w:ascii="仿宋" w:eastAsia="仿宋" w:hAnsi="仿宋" w:hint="eastAsia"/>
          <w:sz w:val="32"/>
          <w:szCs w:val="32"/>
        </w:rPr>
        <w:t>万元，调整后</w:t>
      </w:r>
      <w:r w:rsidR="005B5793">
        <w:rPr>
          <w:rFonts w:ascii="仿宋" w:eastAsia="仿宋" w:hAnsi="仿宋" w:hint="eastAsia"/>
          <w:sz w:val="32"/>
          <w:szCs w:val="32"/>
        </w:rPr>
        <w:t>56439.82</w:t>
      </w:r>
      <w:r w:rsidRPr="005B5793">
        <w:rPr>
          <w:rFonts w:ascii="仿宋" w:eastAsia="仿宋" w:hAnsi="仿宋" w:hint="eastAsia"/>
          <w:sz w:val="32"/>
          <w:szCs w:val="32"/>
        </w:rPr>
        <w:t>万元。当年实际完成收入</w:t>
      </w:r>
      <w:r w:rsidR="00737FB2" w:rsidRPr="005B5793">
        <w:rPr>
          <w:rFonts w:ascii="仿宋" w:eastAsia="仿宋" w:hAnsi="仿宋" w:hint="eastAsia"/>
          <w:sz w:val="32"/>
          <w:szCs w:val="32"/>
        </w:rPr>
        <w:t>55633.37</w:t>
      </w:r>
      <w:r w:rsidRPr="005B5793">
        <w:rPr>
          <w:rFonts w:ascii="仿宋" w:eastAsia="仿宋" w:hAnsi="仿宋" w:hint="eastAsia"/>
          <w:sz w:val="32"/>
          <w:szCs w:val="32"/>
        </w:rPr>
        <w:t>万元</w:t>
      </w:r>
      <w:r w:rsidR="0044086F" w:rsidRPr="005B5793">
        <w:rPr>
          <w:rFonts w:ascii="仿宋" w:eastAsia="仿宋" w:hAnsi="仿宋" w:hint="eastAsia"/>
          <w:sz w:val="32"/>
          <w:szCs w:val="32"/>
        </w:rPr>
        <w:t>（不含上年结转</w:t>
      </w:r>
      <w:r w:rsidR="005B5793">
        <w:rPr>
          <w:rFonts w:ascii="仿宋" w:eastAsia="仿宋" w:hAnsi="仿宋" w:hint="eastAsia"/>
          <w:sz w:val="32"/>
          <w:szCs w:val="32"/>
        </w:rPr>
        <w:t>806.45</w:t>
      </w:r>
      <w:r w:rsidR="0044086F" w:rsidRPr="005B5793">
        <w:rPr>
          <w:rFonts w:ascii="仿宋" w:eastAsia="仿宋" w:hAnsi="仿宋" w:hint="eastAsia"/>
          <w:sz w:val="32"/>
          <w:szCs w:val="32"/>
        </w:rPr>
        <w:t>万元）</w:t>
      </w:r>
      <w:r w:rsidRPr="005B5793">
        <w:rPr>
          <w:rFonts w:ascii="仿宋" w:eastAsia="仿宋" w:hAnsi="仿宋" w:hint="eastAsia"/>
          <w:sz w:val="32"/>
          <w:szCs w:val="32"/>
        </w:rPr>
        <w:t>；完成支出</w:t>
      </w:r>
      <w:r w:rsidR="00737FB2" w:rsidRPr="005B5793">
        <w:rPr>
          <w:rFonts w:ascii="仿宋" w:eastAsia="仿宋" w:hAnsi="仿宋" w:hint="eastAsia"/>
          <w:sz w:val="32"/>
          <w:szCs w:val="32"/>
        </w:rPr>
        <w:t>558</w:t>
      </w:r>
      <w:r w:rsidR="005B5793">
        <w:rPr>
          <w:rFonts w:ascii="仿宋" w:eastAsia="仿宋" w:hAnsi="仿宋" w:hint="eastAsia"/>
          <w:sz w:val="32"/>
          <w:szCs w:val="32"/>
        </w:rPr>
        <w:t>44.10</w:t>
      </w:r>
      <w:r w:rsidRPr="005B5793">
        <w:rPr>
          <w:rFonts w:ascii="仿宋" w:eastAsia="仿宋" w:hAnsi="仿宋" w:hint="eastAsia"/>
          <w:sz w:val="32"/>
          <w:szCs w:val="32"/>
        </w:rPr>
        <w:t>万元，其中工资福利支出</w:t>
      </w:r>
      <w:r w:rsidR="00737FB2" w:rsidRPr="005B5793">
        <w:rPr>
          <w:rFonts w:ascii="仿宋" w:eastAsia="仿宋" w:hAnsi="仿宋" w:hint="eastAsia"/>
          <w:sz w:val="32"/>
          <w:szCs w:val="32"/>
        </w:rPr>
        <w:t>21862.69</w:t>
      </w:r>
      <w:r w:rsidRPr="005B5793">
        <w:rPr>
          <w:rFonts w:ascii="仿宋" w:eastAsia="仿宋" w:hAnsi="仿宋" w:hint="eastAsia"/>
          <w:sz w:val="32"/>
          <w:szCs w:val="32"/>
        </w:rPr>
        <w:t>万元、商品和服务支出</w:t>
      </w:r>
      <w:r w:rsidR="00737FB2" w:rsidRPr="005B5793">
        <w:rPr>
          <w:rFonts w:ascii="仿宋" w:eastAsia="仿宋" w:hAnsi="仿宋" w:hint="eastAsia"/>
          <w:sz w:val="32"/>
          <w:szCs w:val="32"/>
        </w:rPr>
        <w:t>2697.74</w:t>
      </w:r>
      <w:r w:rsidRPr="005B5793">
        <w:rPr>
          <w:rFonts w:ascii="仿宋" w:eastAsia="仿宋" w:hAnsi="仿宋" w:hint="eastAsia"/>
          <w:sz w:val="32"/>
          <w:szCs w:val="32"/>
        </w:rPr>
        <w:t>万元、对个人和家庭的补助支出</w:t>
      </w:r>
      <w:r w:rsidR="00737FB2" w:rsidRPr="005B5793">
        <w:rPr>
          <w:rFonts w:ascii="仿宋" w:eastAsia="仿宋" w:hAnsi="仿宋" w:hint="eastAsia"/>
          <w:sz w:val="32"/>
          <w:szCs w:val="32"/>
        </w:rPr>
        <w:t>1705.11</w:t>
      </w:r>
      <w:r w:rsidRPr="005B5793">
        <w:rPr>
          <w:rFonts w:ascii="仿宋" w:eastAsia="仿宋" w:hAnsi="仿宋" w:hint="eastAsia"/>
          <w:sz w:val="32"/>
          <w:szCs w:val="32"/>
        </w:rPr>
        <w:t>万元、其他资本性支出</w:t>
      </w:r>
      <w:r w:rsidR="00737FB2" w:rsidRPr="005B5793">
        <w:rPr>
          <w:rFonts w:ascii="仿宋" w:eastAsia="仿宋" w:hAnsi="仿宋" w:hint="eastAsia"/>
          <w:sz w:val="32"/>
          <w:szCs w:val="32"/>
        </w:rPr>
        <w:t>29</w:t>
      </w:r>
      <w:r w:rsidR="005B5793">
        <w:rPr>
          <w:rFonts w:ascii="仿宋" w:eastAsia="仿宋" w:hAnsi="仿宋" w:hint="eastAsia"/>
          <w:sz w:val="32"/>
          <w:szCs w:val="32"/>
        </w:rPr>
        <w:t>367.82</w:t>
      </w:r>
      <w:r w:rsidRPr="005B5793">
        <w:rPr>
          <w:rFonts w:ascii="仿宋" w:eastAsia="仿宋" w:hAnsi="仿宋" w:hint="eastAsia"/>
          <w:sz w:val="32"/>
          <w:szCs w:val="32"/>
        </w:rPr>
        <w:t>万元；年底结余</w:t>
      </w:r>
      <w:r w:rsidR="0044086F" w:rsidRPr="005B5793">
        <w:rPr>
          <w:rFonts w:ascii="仿宋" w:eastAsia="仿宋" w:hAnsi="仿宋" w:hint="eastAsia"/>
          <w:sz w:val="32"/>
          <w:szCs w:val="32"/>
        </w:rPr>
        <w:t>5</w:t>
      </w:r>
      <w:r w:rsidR="005B5793">
        <w:rPr>
          <w:rFonts w:ascii="仿宋" w:eastAsia="仿宋" w:hAnsi="仿宋" w:hint="eastAsia"/>
          <w:sz w:val="32"/>
          <w:szCs w:val="32"/>
        </w:rPr>
        <w:t>95.72</w:t>
      </w:r>
      <w:r w:rsidRPr="005B5793">
        <w:rPr>
          <w:rFonts w:ascii="仿宋" w:eastAsia="仿宋" w:hAnsi="仿宋" w:hint="eastAsia"/>
          <w:sz w:val="32"/>
          <w:szCs w:val="32"/>
        </w:rPr>
        <w:t>万元，其中基本支出结余</w:t>
      </w:r>
      <w:r w:rsidR="005B5793">
        <w:rPr>
          <w:rFonts w:ascii="仿宋" w:eastAsia="仿宋" w:hAnsi="仿宋" w:hint="eastAsia"/>
          <w:sz w:val="32"/>
          <w:szCs w:val="32"/>
        </w:rPr>
        <w:t>595.72</w:t>
      </w:r>
      <w:r w:rsidRPr="005B5793">
        <w:rPr>
          <w:rFonts w:ascii="仿宋" w:eastAsia="仿宋" w:hAnsi="仿宋" w:hint="eastAsia"/>
          <w:sz w:val="32"/>
          <w:szCs w:val="32"/>
        </w:rPr>
        <w:t>万元</w:t>
      </w:r>
      <w:r w:rsidR="0044086F" w:rsidRPr="005B5793">
        <w:rPr>
          <w:rFonts w:ascii="仿宋" w:eastAsia="仿宋" w:hAnsi="仿宋" w:hint="eastAsia"/>
          <w:sz w:val="32"/>
          <w:szCs w:val="32"/>
        </w:rPr>
        <w:t>（包含了上年结转结余</w:t>
      </w:r>
      <w:r w:rsidR="005B5793">
        <w:rPr>
          <w:rFonts w:ascii="仿宋" w:eastAsia="仿宋" w:hAnsi="仿宋" w:hint="eastAsia"/>
          <w:sz w:val="32"/>
          <w:szCs w:val="32"/>
        </w:rPr>
        <w:t>806.45</w:t>
      </w:r>
      <w:r w:rsidR="0044086F" w:rsidRPr="005B5793">
        <w:rPr>
          <w:rFonts w:ascii="仿宋" w:eastAsia="仿宋" w:hAnsi="仿宋" w:hint="eastAsia"/>
          <w:sz w:val="32"/>
          <w:szCs w:val="32"/>
        </w:rPr>
        <w:t>万元）</w:t>
      </w:r>
      <w:r w:rsidRPr="005B5793">
        <w:rPr>
          <w:rFonts w:ascii="仿宋" w:eastAsia="仿宋" w:hAnsi="仿宋" w:hint="eastAsia"/>
          <w:sz w:val="32"/>
          <w:szCs w:val="32"/>
        </w:rPr>
        <w:t>、项目结余</w:t>
      </w:r>
      <w:r w:rsidR="0044086F" w:rsidRPr="005B5793">
        <w:rPr>
          <w:rFonts w:ascii="仿宋" w:eastAsia="仿宋" w:hAnsi="仿宋" w:hint="eastAsia"/>
          <w:sz w:val="32"/>
          <w:szCs w:val="32"/>
        </w:rPr>
        <w:t>0</w:t>
      </w:r>
      <w:r w:rsidRPr="005B5793">
        <w:rPr>
          <w:rFonts w:ascii="仿宋" w:eastAsia="仿宋" w:hAnsi="仿宋" w:hint="eastAsia"/>
          <w:sz w:val="32"/>
          <w:szCs w:val="32"/>
        </w:rPr>
        <w:t>万元。</w:t>
      </w:r>
    </w:p>
    <w:p w:rsidR="00033353" w:rsidRPr="005B5793" w:rsidRDefault="005B5793">
      <w:pPr>
        <w:spacing w:line="460" w:lineRule="exact"/>
        <w:ind w:firstLineChars="200" w:firstLine="640"/>
        <w:rPr>
          <w:rFonts w:ascii="仿宋" w:eastAsia="仿宋" w:hAnsi="仿宋"/>
          <w:sz w:val="32"/>
          <w:szCs w:val="32"/>
        </w:rPr>
      </w:pPr>
      <w:r>
        <w:rPr>
          <w:rFonts w:ascii="仿宋" w:eastAsia="仿宋" w:hAnsi="仿宋" w:hint="eastAsia"/>
          <w:sz w:val="32"/>
          <w:szCs w:val="32"/>
        </w:rPr>
        <w:t>一般公共预算拨款</w:t>
      </w:r>
      <w:r w:rsidR="00033353" w:rsidRPr="005B5793">
        <w:rPr>
          <w:rFonts w:ascii="仿宋" w:eastAsia="仿宋" w:hAnsi="仿宋" w:hint="eastAsia"/>
          <w:sz w:val="32"/>
          <w:szCs w:val="32"/>
        </w:rPr>
        <w:t>预算支出与决算的差异总额为</w:t>
      </w:r>
      <w:r w:rsidR="00052426">
        <w:rPr>
          <w:rFonts w:ascii="仿宋" w:eastAsia="仿宋" w:hAnsi="仿宋" w:hint="eastAsia"/>
          <w:sz w:val="32"/>
          <w:szCs w:val="32"/>
        </w:rPr>
        <w:t>0</w:t>
      </w:r>
      <w:r w:rsidR="00033353" w:rsidRPr="005B5793">
        <w:rPr>
          <w:rFonts w:ascii="仿宋" w:eastAsia="仿宋" w:hAnsi="仿宋" w:hint="eastAsia"/>
          <w:sz w:val="32"/>
          <w:szCs w:val="32"/>
        </w:rPr>
        <w:t>万元，差异的具体情况及原因见下表：</w:t>
      </w:r>
    </w:p>
    <w:tbl>
      <w:tblPr>
        <w:tblW w:w="0" w:type="auto"/>
        <w:jc w:val="center"/>
        <w:tblLayout w:type="fixed"/>
        <w:tblLook w:val="0000"/>
      </w:tblPr>
      <w:tblGrid>
        <w:gridCol w:w="1960"/>
        <w:gridCol w:w="1501"/>
        <w:gridCol w:w="1440"/>
        <w:gridCol w:w="1500"/>
        <w:gridCol w:w="1395"/>
      </w:tblGrid>
      <w:tr w:rsidR="00033353" w:rsidRPr="005B5793">
        <w:trPr>
          <w:trHeight w:val="285"/>
          <w:jc w:val="center"/>
        </w:trPr>
        <w:tc>
          <w:tcPr>
            <w:tcW w:w="7796" w:type="dxa"/>
            <w:gridSpan w:val="5"/>
            <w:tcBorders>
              <w:top w:val="nil"/>
              <w:left w:val="nil"/>
              <w:bottom w:val="nil"/>
              <w:right w:val="nil"/>
            </w:tcBorders>
            <w:vAlign w:val="bottom"/>
          </w:tcPr>
          <w:p w:rsidR="00033353" w:rsidRPr="005B5793" w:rsidRDefault="00D64C88">
            <w:pPr>
              <w:widowControl/>
              <w:spacing w:line="460" w:lineRule="exact"/>
              <w:jc w:val="center"/>
              <w:rPr>
                <w:rFonts w:ascii="仿宋" w:eastAsia="仿宋" w:hAnsi="仿宋" w:cs="宋体"/>
                <w:bCs/>
                <w:kern w:val="0"/>
                <w:sz w:val="32"/>
                <w:szCs w:val="32"/>
              </w:rPr>
            </w:pPr>
            <w:r w:rsidRPr="005B5793">
              <w:rPr>
                <w:rFonts w:ascii="仿宋" w:eastAsia="仿宋" w:hAnsi="仿宋" w:cs="宋体" w:hint="eastAsia"/>
                <w:bCs/>
                <w:kern w:val="0"/>
                <w:sz w:val="32"/>
                <w:szCs w:val="32"/>
              </w:rPr>
              <w:t>教科体系统</w:t>
            </w:r>
            <w:r w:rsidR="00033353" w:rsidRPr="005B5793">
              <w:rPr>
                <w:rFonts w:ascii="仿宋" w:eastAsia="仿宋" w:hAnsi="仿宋" w:cs="宋体" w:hint="eastAsia"/>
                <w:bCs/>
                <w:kern w:val="0"/>
                <w:sz w:val="32"/>
                <w:szCs w:val="32"/>
              </w:rPr>
              <w:t>单位2020年度财政拨款预算执行总体情况</w:t>
            </w:r>
          </w:p>
        </w:tc>
      </w:tr>
      <w:tr w:rsidR="00033353">
        <w:trPr>
          <w:trHeight w:val="105"/>
          <w:jc w:val="center"/>
        </w:trPr>
        <w:tc>
          <w:tcPr>
            <w:tcW w:w="1960" w:type="dxa"/>
            <w:tcBorders>
              <w:top w:val="nil"/>
              <w:left w:val="nil"/>
              <w:bottom w:val="nil"/>
              <w:right w:val="nil"/>
            </w:tcBorders>
            <w:vAlign w:val="bottom"/>
          </w:tcPr>
          <w:p w:rsidR="00033353" w:rsidRDefault="00033353">
            <w:pPr>
              <w:widowControl/>
              <w:spacing w:line="460" w:lineRule="exact"/>
              <w:jc w:val="left"/>
              <w:rPr>
                <w:rFonts w:ascii="宋体" w:hAnsi="宋体" w:cs="宋体"/>
                <w:kern w:val="0"/>
                <w:szCs w:val="21"/>
              </w:rPr>
            </w:pPr>
          </w:p>
        </w:tc>
        <w:tc>
          <w:tcPr>
            <w:tcW w:w="1501" w:type="dxa"/>
            <w:tcBorders>
              <w:top w:val="nil"/>
              <w:left w:val="nil"/>
              <w:bottom w:val="nil"/>
              <w:right w:val="nil"/>
            </w:tcBorders>
            <w:vAlign w:val="bottom"/>
          </w:tcPr>
          <w:p w:rsidR="00033353" w:rsidRDefault="00033353">
            <w:pPr>
              <w:widowControl/>
              <w:spacing w:line="460" w:lineRule="exact"/>
              <w:jc w:val="left"/>
              <w:rPr>
                <w:rFonts w:ascii="宋体" w:hAnsi="宋体" w:cs="宋体"/>
                <w:kern w:val="0"/>
                <w:szCs w:val="21"/>
              </w:rPr>
            </w:pPr>
          </w:p>
        </w:tc>
        <w:tc>
          <w:tcPr>
            <w:tcW w:w="1440" w:type="dxa"/>
            <w:tcBorders>
              <w:top w:val="nil"/>
              <w:left w:val="nil"/>
              <w:bottom w:val="nil"/>
              <w:right w:val="nil"/>
            </w:tcBorders>
            <w:vAlign w:val="bottom"/>
          </w:tcPr>
          <w:p w:rsidR="00033353" w:rsidRDefault="00033353">
            <w:pPr>
              <w:widowControl/>
              <w:spacing w:line="460" w:lineRule="exact"/>
              <w:jc w:val="left"/>
              <w:rPr>
                <w:rFonts w:ascii="宋体" w:hAnsi="宋体" w:cs="宋体"/>
                <w:kern w:val="0"/>
                <w:szCs w:val="21"/>
              </w:rPr>
            </w:pPr>
          </w:p>
        </w:tc>
        <w:tc>
          <w:tcPr>
            <w:tcW w:w="1500" w:type="dxa"/>
            <w:tcBorders>
              <w:top w:val="nil"/>
              <w:left w:val="nil"/>
              <w:bottom w:val="nil"/>
              <w:right w:val="nil"/>
            </w:tcBorders>
            <w:vAlign w:val="bottom"/>
          </w:tcPr>
          <w:p w:rsidR="00033353" w:rsidRDefault="00033353">
            <w:pPr>
              <w:widowControl/>
              <w:spacing w:line="460" w:lineRule="exact"/>
              <w:jc w:val="left"/>
              <w:rPr>
                <w:rFonts w:ascii="宋体" w:hAnsi="宋体" w:cs="宋体"/>
                <w:kern w:val="0"/>
                <w:szCs w:val="21"/>
              </w:rPr>
            </w:pPr>
          </w:p>
        </w:tc>
        <w:tc>
          <w:tcPr>
            <w:tcW w:w="1395" w:type="dxa"/>
            <w:tcBorders>
              <w:top w:val="nil"/>
              <w:left w:val="nil"/>
              <w:bottom w:val="nil"/>
              <w:right w:val="nil"/>
            </w:tcBorders>
            <w:vAlign w:val="bottom"/>
          </w:tcPr>
          <w:p w:rsidR="00033353" w:rsidRDefault="00033353">
            <w:pPr>
              <w:widowControl/>
              <w:spacing w:line="460" w:lineRule="exact"/>
              <w:jc w:val="left"/>
              <w:rPr>
                <w:rFonts w:ascii="仿宋" w:eastAsia="仿宋" w:hAnsi="仿宋" w:cs="仿宋"/>
                <w:kern w:val="0"/>
                <w:szCs w:val="21"/>
              </w:rPr>
            </w:pPr>
            <w:r>
              <w:rPr>
                <w:rFonts w:ascii="仿宋" w:eastAsia="仿宋" w:hAnsi="仿宋" w:cs="仿宋" w:hint="eastAsia"/>
                <w:kern w:val="0"/>
                <w:szCs w:val="21"/>
              </w:rPr>
              <w:t>单位：万元</w:t>
            </w:r>
          </w:p>
        </w:tc>
      </w:tr>
      <w:tr w:rsidR="00033353">
        <w:trPr>
          <w:trHeight w:val="330"/>
          <w:jc w:val="center"/>
        </w:trPr>
        <w:tc>
          <w:tcPr>
            <w:tcW w:w="1960" w:type="dxa"/>
            <w:vMerge w:val="restart"/>
            <w:tcBorders>
              <w:top w:val="single" w:sz="4" w:space="0" w:color="auto"/>
              <w:left w:val="single" w:sz="4" w:space="0" w:color="auto"/>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项目</w:t>
            </w:r>
          </w:p>
        </w:tc>
        <w:tc>
          <w:tcPr>
            <w:tcW w:w="1501" w:type="dxa"/>
            <w:vMerge w:val="restart"/>
            <w:tcBorders>
              <w:top w:val="single" w:sz="4" w:space="0" w:color="auto"/>
              <w:left w:val="single" w:sz="4" w:space="0" w:color="auto"/>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小计</w:t>
            </w:r>
          </w:p>
        </w:tc>
        <w:tc>
          <w:tcPr>
            <w:tcW w:w="2940" w:type="dxa"/>
            <w:gridSpan w:val="2"/>
            <w:tcBorders>
              <w:top w:val="single" w:sz="4" w:space="0" w:color="auto"/>
              <w:left w:val="nil"/>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基本支出</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项目支出</w:t>
            </w:r>
          </w:p>
        </w:tc>
      </w:tr>
      <w:tr w:rsidR="00033353">
        <w:trPr>
          <w:trHeight w:val="355"/>
          <w:jc w:val="center"/>
        </w:trPr>
        <w:tc>
          <w:tcPr>
            <w:tcW w:w="1960" w:type="dxa"/>
            <w:vMerge/>
            <w:tcBorders>
              <w:top w:val="single" w:sz="4" w:space="0" w:color="auto"/>
              <w:left w:val="single" w:sz="4" w:space="0" w:color="auto"/>
              <w:bottom w:val="single" w:sz="4" w:space="0" w:color="auto"/>
              <w:right w:val="single" w:sz="4" w:space="0" w:color="auto"/>
            </w:tcBorders>
            <w:vAlign w:val="center"/>
          </w:tcPr>
          <w:p w:rsidR="00033353" w:rsidRDefault="00033353">
            <w:pPr>
              <w:widowControl/>
              <w:spacing w:line="460" w:lineRule="exact"/>
              <w:jc w:val="left"/>
              <w:rPr>
                <w:rFonts w:ascii="仿宋" w:eastAsia="仿宋" w:hAnsi="仿宋" w:cs="仿宋"/>
                <w:kern w:val="0"/>
                <w:szCs w:val="21"/>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p>
        </w:tc>
        <w:tc>
          <w:tcPr>
            <w:tcW w:w="1440" w:type="dxa"/>
            <w:tcBorders>
              <w:top w:val="nil"/>
              <w:left w:val="nil"/>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人员经费</w:t>
            </w:r>
          </w:p>
        </w:tc>
        <w:tc>
          <w:tcPr>
            <w:tcW w:w="1500" w:type="dxa"/>
            <w:tcBorders>
              <w:top w:val="nil"/>
              <w:left w:val="nil"/>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公用经费</w:t>
            </w:r>
          </w:p>
        </w:tc>
        <w:tc>
          <w:tcPr>
            <w:tcW w:w="1395" w:type="dxa"/>
            <w:vMerge/>
            <w:tcBorders>
              <w:top w:val="single" w:sz="4" w:space="0" w:color="auto"/>
              <w:left w:val="single" w:sz="4" w:space="0" w:color="auto"/>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p>
        </w:tc>
      </w:tr>
      <w:tr w:rsidR="00033353">
        <w:trPr>
          <w:trHeight w:val="226"/>
          <w:jc w:val="center"/>
        </w:trPr>
        <w:tc>
          <w:tcPr>
            <w:tcW w:w="1960" w:type="dxa"/>
            <w:tcBorders>
              <w:top w:val="single" w:sz="4" w:space="0" w:color="auto"/>
              <w:left w:val="single" w:sz="4" w:space="0" w:color="auto"/>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预算数</w:t>
            </w:r>
          </w:p>
        </w:tc>
        <w:tc>
          <w:tcPr>
            <w:tcW w:w="1501" w:type="dxa"/>
            <w:tcBorders>
              <w:top w:val="nil"/>
              <w:left w:val="nil"/>
              <w:bottom w:val="single" w:sz="4" w:space="0" w:color="auto"/>
              <w:right w:val="single" w:sz="4" w:space="0" w:color="auto"/>
            </w:tcBorders>
            <w:vAlign w:val="center"/>
          </w:tcPr>
          <w:p w:rsidR="00033353" w:rsidRDefault="00052426">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55633.37</w:t>
            </w:r>
          </w:p>
        </w:tc>
        <w:tc>
          <w:tcPr>
            <w:tcW w:w="1440" w:type="dxa"/>
            <w:tcBorders>
              <w:top w:val="nil"/>
              <w:left w:val="nil"/>
              <w:bottom w:val="single" w:sz="4" w:space="0" w:color="auto"/>
              <w:right w:val="single" w:sz="4" w:space="0" w:color="auto"/>
            </w:tcBorders>
            <w:vAlign w:val="bottom"/>
          </w:tcPr>
          <w:p w:rsidR="00033353" w:rsidRDefault="00052426" w:rsidP="00D64C88">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23567.81</w:t>
            </w:r>
          </w:p>
        </w:tc>
        <w:tc>
          <w:tcPr>
            <w:tcW w:w="1500" w:type="dxa"/>
            <w:tcBorders>
              <w:top w:val="nil"/>
              <w:left w:val="nil"/>
              <w:bottom w:val="single" w:sz="4" w:space="0" w:color="auto"/>
              <w:right w:val="single" w:sz="4" w:space="0" w:color="auto"/>
            </w:tcBorders>
            <w:vAlign w:val="bottom"/>
          </w:tcPr>
          <w:p w:rsidR="00033353" w:rsidRDefault="00052426">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32065.56</w:t>
            </w:r>
          </w:p>
        </w:tc>
        <w:tc>
          <w:tcPr>
            <w:tcW w:w="1395" w:type="dxa"/>
            <w:tcBorders>
              <w:top w:val="nil"/>
              <w:left w:val="nil"/>
              <w:bottom w:val="single" w:sz="4" w:space="0" w:color="auto"/>
              <w:right w:val="single" w:sz="4" w:space="0" w:color="auto"/>
            </w:tcBorders>
            <w:vAlign w:val="center"/>
          </w:tcPr>
          <w:p w:rsidR="00033353" w:rsidRDefault="00D64C88">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r>
      <w:tr w:rsidR="00033353">
        <w:trPr>
          <w:trHeight w:val="315"/>
          <w:jc w:val="center"/>
        </w:trPr>
        <w:tc>
          <w:tcPr>
            <w:tcW w:w="1960" w:type="dxa"/>
            <w:tcBorders>
              <w:top w:val="single" w:sz="4" w:space="0" w:color="auto"/>
              <w:left w:val="single" w:sz="4" w:space="0" w:color="auto"/>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决算数</w:t>
            </w:r>
          </w:p>
        </w:tc>
        <w:tc>
          <w:tcPr>
            <w:tcW w:w="1501" w:type="dxa"/>
            <w:tcBorders>
              <w:top w:val="nil"/>
              <w:left w:val="nil"/>
              <w:bottom w:val="single" w:sz="4" w:space="0" w:color="auto"/>
              <w:right w:val="single" w:sz="4" w:space="0" w:color="auto"/>
            </w:tcBorders>
            <w:vAlign w:val="center"/>
          </w:tcPr>
          <w:p w:rsidR="00033353" w:rsidRDefault="00052426">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55633.37</w:t>
            </w:r>
          </w:p>
        </w:tc>
        <w:tc>
          <w:tcPr>
            <w:tcW w:w="1440" w:type="dxa"/>
            <w:tcBorders>
              <w:top w:val="nil"/>
              <w:left w:val="nil"/>
              <w:bottom w:val="single" w:sz="4" w:space="0" w:color="auto"/>
              <w:right w:val="single" w:sz="4" w:space="0" w:color="auto"/>
            </w:tcBorders>
            <w:vAlign w:val="bottom"/>
          </w:tcPr>
          <w:p w:rsidR="00033353" w:rsidRDefault="00052426">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23567.81</w:t>
            </w:r>
          </w:p>
        </w:tc>
        <w:tc>
          <w:tcPr>
            <w:tcW w:w="1500" w:type="dxa"/>
            <w:tcBorders>
              <w:top w:val="nil"/>
              <w:left w:val="nil"/>
              <w:bottom w:val="single" w:sz="4" w:space="0" w:color="auto"/>
              <w:right w:val="single" w:sz="4" w:space="0" w:color="auto"/>
            </w:tcBorders>
            <w:vAlign w:val="bottom"/>
          </w:tcPr>
          <w:p w:rsidR="00033353" w:rsidRDefault="00052426">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32065.56</w:t>
            </w:r>
          </w:p>
        </w:tc>
        <w:tc>
          <w:tcPr>
            <w:tcW w:w="1395" w:type="dxa"/>
            <w:tcBorders>
              <w:top w:val="nil"/>
              <w:left w:val="nil"/>
              <w:bottom w:val="single" w:sz="4" w:space="0" w:color="auto"/>
              <w:right w:val="single" w:sz="4" w:space="0" w:color="auto"/>
            </w:tcBorders>
            <w:vAlign w:val="center"/>
          </w:tcPr>
          <w:p w:rsidR="00033353" w:rsidRDefault="00D64C88">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r>
      <w:tr w:rsidR="00033353">
        <w:trPr>
          <w:trHeight w:val="390"/>
          <w:jc w:val="center"/>
        </w:trPr>
        <w:tc>
          <w:tcPr>
            <w:tcW w:w="1960" w:type="dxa"/>
            <w:tcBorders>
              <w:top w:val="single" w:sz="4" w:space="0" w:color="auto"/>
              <w:left w:val="single" w:sz="4" w:space="0" w:color="auto"/>
              <w:bottom w:val="single" w:sz="4" w:space="0" w:color="auto"/>
              <w:right w:val="single" w:sz="4" w:space="0" w:color="auto"/>
            </w:tcBorders>
            <w:vAlign w:val="center"/>
          </w:tcPr>
          <w:p w:rsidR="00033353" w:rsidRDefault="00033353">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预决算的差异数</w:t>
            </w:r>
          </w:p>
        </w:tc>
        <w:tc>
          <w:tcPr>
            <w:tcW w:w="1501" w:type="dxa"/>
            <w:tcBorders>
              <w:top w:val="nil"/>
              <w:left w:val="nil"/>
              <w:bottom w:val="single" w:sz="4" w:space="0" w:color="auto"/>
              <w:right w:val="single" w:sz="4" w:space="0" w:color="auto"/>
            </w:tcBorders>
            <w:vAlign w:val="bottom"/>
          </w:tcPr>
          <w:p w:rsidR="00033353" w:rsidRDefault="00D64C88">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c>
          <w:tcPr>
            <w:tcW w:w="1440" w:type="dxa"/>
            <w:tcBorders>
              <w:top w:val="nil"/>
              <w:left w:val="nil"/>
              <w:bottom w:val="single" w:sz="4" w:space="0" w:color="auto"/>
              <w:right w:val="single" w:sz="4" w:space="0" w:color="auto"/>
            </w:tcBorders>
            <w:vAlign w:val="bottom"/>
          </w:tcPr>
          <w:p w:rsidR="00033353" w:rsidRDefault="00D64C88">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c>
          <w:tcPr>
            <w:tcW w:w="1500" w:type="dxa"/>
            <w:tcBorders>
              <w:top w:val="nil"/>
              <w:left w:val="nil"/>
              <w:bottom w:val="single" w:sz="4" w:space="0" w:color="auto"/>
              <w:right w:val="single" w:sz="4" w:space="0" w:color="auto"/>
            </w:tcBorders>
            <w:vAlign w:val="bottom"/>
          </w:tcPr>
          <w:p w:rsidR="00033353" w:rsidRDefault="00D64C88">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c>
          <w:tcPr>
            <w:tcW w:w="1395" w:type="dxa"/>
            <w:tcBorders>
              <w:top w:val="nil"/>
              <w:left w:val="nil"/>
              <w:bottom w:val="single" w:sz="4" w:space="0" w:color="auto"/>
              <w:right w:val="single" w:sz="4" w:space="0" w:color="auto"/>
            </w:tcBorders>
            <w:vAlign w:val="bottom"/>
          </w:tcPr>
          <w:p w:rsidR="00033353" w:rsidRDefault="00D64C88">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r>
      <w:tr w:rsidR="00033353">
        <w:trPr>
          <w:trHeight w:val="530"/>
          <w:jc w:val="center"/>
        </w:trPr>
        <w:tc>
          <w:tcPr>
            <w:tcW w:w="7796" w:type="dxa"/>
            <w:gridSpan w:val="5"/>
            <w:tcBorders>
              <w:top w:val="single" w:sz="4" w:space="0" w:color="auto"/>
              <w:left w:val="single" w:sz="4" w:space="0" w:color="auto"/>
              <w:bottom w:val="single" w:sz="4" w:space="0" w:color="auto"/>
              <w:right w:val="single" w:sz="4" w:space="0" w:color="auto"/>
            </w:tcBorders>
          </w:tcPr>
          <w:p w:rsidR="00033353" w:rsidRDefault="00033353">
            <w:pPr>
              <w:widowControl/>
              <w:spacing w:line="460" w:lineRule="exact"/>
              <w:rPr>
                <w:rFonts w:ascii="仿宋" w:eastAsia="仿宋" w:hAnsi="仿宋" w:cs="仿宋"/>
                <w:kern w:val="0"/>
                <w:sz w:val="24"/>
              </w:rPr>
            </w:pPr>
            <w:r>
              <w:rPr>
                <w:rFonts w:ascii="仿宋" w:eastAsia="仿宋" w:hAnsi="仿宋" w:cs="仿宋" w:hint="eastAsia"/>
                <w:kern w:val="0"/>
                <w:sz w:val="24"/>
              </w:rPr>
              <w:t>差异原因主要是：（具体文字说明）</w:t>
            </w:r>
          </w:p>
        </w:tc>
      </w:tr>
    </w:tbl>
    <w:p w:rsidR="00033353" w:rsidRDefault="00033353">
      <w:pPr>
        <w:spacing w:line="460" w:lineRule="exact"/>
        <w:ind w:firstLineChars="200" w:firstLine="643"/>
        <w:rPr>
          <w:rFonts w:ascii="楷体" w:eastAsia="楷体" w:hAnsi="楷体" w:cs="楷体"/>
          <w:b/>
          <w:bCs/>
          <w:sz w:val="32"/>
          <w:szCs w:val="32"/>
        </w:rPr>
      </w:pP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（一）基本支出</w:t>
      </w:r>
    </w:p>
    <w:p w:rsidR="003C7CE8" w:rsidRDefault="003C7CE8" w:rsidP="003C7CE8">
      <w:pPr>
        <w:spacing w:line="460" w:lineRule="exact"/>
        <w:ind w:firstLineChars="200" w:firstLine="640"/>
        <w:rPr>
          <w:rFonts w:ascii="仿宋_GB2312" w:eastAsia="仿宋_GB2312" w:hAnsi="仿宋"/>
          <w:sz w:val="32"/>
          <w:szCs w:val="32"/>
        </w:rPr>
      </w:pPr>
      <w:r w:rsidRPr="001A7AC1">
        <w:rPr>
          <w:rFonts w:ascii="仿宋" w:eastAsia="仿宋" w:hAnsi="仿宋" w:cs="仿宋_GB2312" w:hint="eastAsia"/>
          <w:bCs/>
          <w:sz w:val="32"/>
          <w:szCs w:val="32"/>
        </w:rPr>
        <w:t>基本支出主要用于全南县</w:t>
      </w:r>
      <w:r>
        <w:rPr>
          <w:rFonts w:ascii="仿宋" w:eastAsia="仿宋" w:hAnsi="仿宋" w:cs="仿宋_GB2312" w:hint="eastAsia"/>
          <w:bCs/>
          <w:sz w:val="32"/>
          <w:szCs w:val="32"/>
        </w:rPr>
        <w:t>教科体</w:t>
      </w:r>
      <w:r w:rsidRPr="001A7AC1">
        <w:rPr>
          <w:rFonts w:ascii="仿宋" w:eastAsia="仿宋" w:hAnsi="仿宋" w:cs="仿宋_GB2312" w:hint="eastAsia"/>
          <w:bCs/>
          <w:sz w:val="32"/>
          <w:szCs w:val="32"/>
        </w:rPr>
        <w:t>系统的人员经费和日常管理开支，</w:t>
      </w:r>
      <w:r w:rsidRPr="001A7AC1">
        <w:rPr>
          <w:rFonts w:ascii="仿宋" w:eastAsia="仿宋" w:hAnsi="仿宋" w:cs="仿宋_GB2312" w:hint="eastAsia"/>
          <w:bCs/>
          <w:color w:val="333333"/>
          <w:sz w:val="32"/>
          <w:szCs w:val="32"/>
          <w:shd w:val="clear" w:color="auto" w:fill="FFFFFF"/>
        </w:rPr>
        <w:t>资金使用规范，注重绩效，在资金管理上实行“收支”两条线，最大限度地提高资金的使用效益。全年“三公”经费合计</w:t>
      </w:r>
      <w:r>
        <w:rPr>
          <w:rFonts w:ascii="仿宋" w:eastAsia="仿宋" w:hAnsi="仿宋" w:cs="仿宋_GB2312" w:hint="eastAsia"/>
          <w:bCs/>
          <w:color w:val="333333"/>
          <w:sz w:val="32"/>
          <w:szCs w:val="32"/>
          <w:shd w:val="clear" w:color="auto" w:fill="FFFFFF"/>
        </w:rPr>
        <w:t>23.3</w:t>
      </w:r>
      <w:r w:rsidRPr="001A7AC1">
        <w:rPr>
          <w:rFonts w:ascii="仿宋" w:eastAsia="仿宋" w:hAnsi="仿宋" w:cs="仿宋_GB2312" w:hint="eastAsia"/>
          <w:bCs/>
          <w:color w:val="333333"/>
          <w:sz w:val="32"/>
          <w:szCs w:val="32"/>
          <w:shd w:val="clear" w:color="auto" w:fill="FFFFFF"/>
        </w:rPr>
        <w:t>万元，其中公务接待费</w:t>
      </w:r>
      <w:r>
        <w:rPr>
          <w:rFonts w:ascii="仿宋" w:eastAsia="仿宋" w:hAnsi="仿宋" w:cs="仿宋_GB2312" w:hint="eastAsia"/>
          <w:bCs/>
          <w:color w:val="333333"/>
          <w:sz w:val="32"/>
          <w:szCs w:val="32"/>
          <w:shd w:val="clear" w:color="auto" w:fill="FFFFFF"/>
        </w:rPr>
        <w:t>23.3</w:t>
      </w:r>
      <w:r w:rsidRPr="001A7AC1">
        <w:rPr>
          <w:rFonts w:ascii="仿宋" w:eastAsia="仿宋" w:hAnsi="仿宋" w:cs="仿宋_GB2312" w:hint="eastAsia"/>
          <w:bCs/>
          <w:color w:val="333333"/>
          <w:sz w:val="32"/>
          <w:szCs w:val="32"/>
          <w:shd w:val="clear" w:color="auto" w:fill="FFFFFF"/>
        </w:rPr>
        <w:t>万元，与上年同比</w:t>
      </w:r>
      <w:r>
        <w:rPr>
          <w:rFonts w:ascii="仿宋" w:eastAsia="仿宋" w:hAnsi="仿宋" w:cs="仿宋_GB2312" w:hint="eastAsia"/>
          <w:bCs/>
          <w:color w:val="333333"/>
          <w:sz w:val="32"/>
          <w:szCs w:val="32"/>
          <w:shd w:val="clear" w:color="auto" w:fill="FFFFFF"/>
        </w:rPr>
        <w:t>增加</w:t>
      </w:r>
      <w:r w:rsidR="00F62004">
        <w:rPr>
          <w:rFonts w:ascii="仿宋" w:eastAsia="仿宋" w:hAnsi="仿宋" w:cs="仿宋_GB2312" w:hint="eastAsia"/>
          <w:bCs/>
          <w:color w:val="333333"/>
          <w:sz w:val="32"/>
          <w:szCs w:val="32"/>
          <w:shd w:val="clear" w:color="auto" w:fill="FFFFFF"/>
        </w:rPr>
        <w:t>-28.35</w:t>
      </w:r>
      <w:r w:rsidRPr="001A7AC1">
        <w:rPr>
          <w:rFonts w:ascii="仿宋" w:eastAsia="仿宋" w:hAnsi="仿宋" w:cs="仿宋_GB2312" w:hint="eastAsia"/>
          <w:bCs/>
          <w:color w:val="333333"/>
          <w:sz w:val="32"/>
          <w:szCs w:val="32"/>
          <w:shd w:val="clear" w:color="auto" w:fill="FFFFFF"/>
        </w:rPr>
        <w:t>%， “三公”经费、会议费、培训费开支严格按照县里相关文件要求执行。</w:t>
      </w:r>
      <w:r w:rsidR="00F62004">
        <w:rPr>
          <w:rFonts w:ascii="仿宋" w:eastAsia="仿宋" w:hAnsi="仿宋" w:cs="仿宋_GB2312" w:hint="eastAsia"/>
          <w:bCs/>
          <w:color w:val="333333"/>
          <w:sz w:val="32"/>
          <w:szCs w:val="32"/>
          <w:shd w:val="clear" w:color="auto" w:fill="FFFFFF"/>
        </w:rPr>
        <w:t>大力推进桃江新区学校建设和第三公办幼儿园建设。</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（二）项目支出</w:t>
      </w:r>
    </w:p>
    <w:p w:rsidR="00033353" w:rsidRDefault="00033353">
      <w:pPr>
        <w:spacing w:line="460" w:lineRule="exact"/>
        <w:ind w:firstLineChars="200" w:firstLine="640"/>
        <w:rPr>
          <w:rFonts w:ascii="仿宋_GB2312" w:eastAsia="仿宋_GB2312" w:hAnsi="仿宋"/>
          <w:sz w:val="32"/>
          <w:szCs w:val="32"/>
        </w:rPr>
      </w:pPr>
      <w:r>
        <w:rPr>
          <w:rFonts w:ascii="仿宋_GB2312" w:eastAsia="仿宋_GB2312" w:hAnsi="仿宋" w:hint="eastAsia"/>
          <w:sz w:val="32"/>
          <w:szCs w:val="32"/>
        </w:rPr>
        <w:t>1.项目资金管理情况分析。</w:t>
      </w:r>
      <w:r w:rsidR="00F62004" w:rsidRPr="000D69B5">
        <w:rPr>
          <w:rFonts w:ascii="仿宋" w:eastAsia="仿宋" w:hAnsi="仿宋" w:cs="仿宋_GB2312" w:hint="eastAsia"/>
          <w:sz w:val="32"/>
          <w:szCs w:val="32"/>
        </w:rPr>
        <w:t>全南县教育局针对不同用途的项目资金，制定了不同的项目资金管理办法，如校建工程类、寄宿生补助等，不同的项目资金由不同的股室具体负责，严格按照项目资金管理办法执行，由县财政局对各项目资金的使用进行监管</w:t>
      </w:r>
      <w:r w:rsidR="00F62004">
        <w:rPr>
          <w:rFonts w:ascii="仿宋" w:eastAsia="仿宋" w:hAnsi="仿宋" w:cs="仿宋_GB2312" w:hint="eastAsia"/>
          <w:sz w:val="32"/>
          <w:szCs w:val="32"/>
        </w:rPr>
        <w:t>，</w:t>
      </w:r>
      <w:r w:rsidR="00F62004" w:rsidRPr="000D69B5">
        <w:rPr>
          <w:rFonts w:ascii="仿宋" w:eastAsia="仿宋" w:hAnsi="仿宋" w:cs="仿宋_GB2312" w:hint="eastAsia"/>
          <w:sz w:val="32"/>
          <w:szCs w:val="32"/>
        </w:rPr>
        <w:t>资金拨付有完整的审批程序和手续，</w:t>
      </w:r>
      <w:r w:rsidR="00F62004" w:rsidRPr="000D69B5">
        <w:rPr>
          <w:rFonts w:ascii="仿宋" w:eastAsia="仿宋" w:hAnsi="仿宋" w:cs="仿宋_GB2312" w:hint="eastAsia"/>
          <w:color w:val="333333"/>
          <w:sz w:val="32"/>
          <w:szCs w:val="32"/>
          <w:shd w:val="clear" w:color="auto" w:fill="FFFFFF"/>
        </w:rPr>
        <w:t>专项资金没有被挪用、挤占，全部按进度支付到位。</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二、部门整体支出绩效实现情况</w:t>
      </w:r>
    </w:p>
    <w:p w:rsidR="00033353" w:rsidRDefault="00F62004" w:rsidP="00F62004">
      <w:pPr>
        <w:spacing w:line="460" w:lineRule="exact"/>
        <w:ind w:firstLineChars="200" w:firstLine="640"/>
        <w:rPr>
          <w:rFonts w:ascii="楷体" w:eastAsia="楷体" w:hAnsi="楷体" w:cs="楷体"/>
          <w:b/>
          <w:bCs/>
          <w:sz w:val="32"/>
          <w:szCs w:val="32"/>
        </w:rPr>
      </w:pPr>
      <w:r w:rsidRPr="009D562D">
        <w:rPr>
          <w:rFonts w:ascii="仿宋" w:eastAsia="仿宋" w:hAnsi="仿宋" w:cs="仿宋_GB2312" w:hint="eastAsia"/>
          <w:sz w:val="32"/>
          <w:szCs w:val="32"/>
        </w:rPr>
        <w:t>本部门履职及履职效益良好。一是各项支出严格按照预算额度进行控制，努力节约经费；二是各项工作均能够按时完成，且质量较高；三是部门整体支出使用效果达到了预期。</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三、部门整体支出绩效中存在问题及改进措施</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（一）主要问题及原因分析</w:t>
      </w:r>
    </w:p>
    <w:p w:rsidR="00F62004" w:rsidRPr="009D562D" w:rsidRDefault="00F62004" w:rsidP="00F62004">
      <w:pPr>
        <w:spacing w:line="420" w:lineRule="exact"/>
        <w:ind w:firstLine="641"/>
        <w:rPr>
          <w:rFonts w:ascii="仿宋" w:eastAsia="仿宋" w:hAnsi="仿宋" w:cs="仿宋_GB2312"/>
          <w:color w:val="333333"/>
          <w:sz w:val="32"/>
          <w:szCs w:val="32"/>
          <w:shd w:val="clear" w:color="auto" w:fill="FFFFFF"/>
        </w:rPr>
      </w:pPr>
      <w:r w:rsidRPr="009D562D">
        <w:rPr>
          <w:rFonts w:ascii="仿宋" w:eastAsia="仿宋" w:hAnsi="仿宋" w:cs="仿宋_GB2312" w:hint="eastAsia"/>
          <w:color w:val="333333"/>
          <w:sz w:val="32"/>
          <w:szCs w:val="32"/>
          <w:shd w:val="clear" w:color="auto" w:fill="FFFFFF"/>
        </w:rPr>
        <w:t>财政下拨单位</w:t>
      </w:r>
      <w:r>
        <w:rPr>
          <w:rFonts w:ascii="仿宋" w:eastAsia="仿宋" w:hAnsi="仿宋" w:cs="仿宋_GB2312" w:hint="eastAsia"/>
          <w:color w:val="333333"/>
          <w:sz w:val="32"/>
          <w:szCs w:val="32"/>
          <w:shd w:val="clear" w:color="auto" w:fill="FFFFFF"/>
        </w:rPr>
        <w:t>部分</w:t>
      </w:r>
      <w:r w:rsidRPr="009D562D">
        <w:rPr>
          <w:rFonts w:ascii="仿宋" w:eastAsia="仿宋" w:hAnsi="仿宋" w:cs="仿宋_GB2312" w:hint="eastAsia"/>
          <w:color w:val="333333"/>
          <w:sz w:val="32"/>
          <w:szCs w:val="32"/>
          <w:shd w:val="clear" w:color="auto" w:fill="FFFFFF"/>
        </w:rPr>
        <w:t>专项经费不及时，资金使用较为被动，不利于各项工作的开展，尤其是校建工程项目资金。</w:t>
      </w:r>
    </w:p>
    <w:p w:rsidR="00F62004" w:rsidRDefault="00F62004" w:rsidP="00F62004">
      <w:pPr>
        <w:spacing w:line="460" w:lineRule="exact"/>
        <w:ind w:firstLineChars="200" w:firstLine="640"/>
        <w:rPr>
          <w:rFonts w:ascii="楷体" w:eastAsia="楷体" w:hAnsi="楷体" w:cs="楷体"/>
          <w:b/>
          <w:bCs/>
          <w:sz w:val="32"/>
          <w:szCs w:val="32"/>
        </w:rPr>
      </w:pPr>
      <w:r w:rsidRPr="009D562D">
        <w:rPr>
          <w:rFonts w:ascii="仿宋" w:eastAsia="仿宋" w:hAnsi="仿宋" w:cs="仿宋_GB2312" w:hint="eastAsia"/>
          <w:color w:val="333333"/>
          <w:sz w:val="32"/>
          <w:szCs w:val="32"/>
          <w:shd w:val="clear" w:color="auto" w:fill="FFFFFF"/>
        </w:rPr>
        <w:t>年末结转资金较多，主要就是因为校建工程项目建设周期较长，</w:t>
      </w:r>
      <w:r w:rsidRPr="009D562D">
        <w:rPr>
          <w:rFonts w:ascii="仿宋" w:eastAsia="仿宋" w:hAnsi="仿宋" w:cs="仿宋_GB2312" w:hint="eastAsia"/>
          <w:sz w:val="32"/>
          <w:szCs w:val="32"/>
        </w:rPr>
        <w:t>工程审批手续繁复，</w:t>
      </w:r>
      <w:r w:rsidRPr="009D562D">
        <w:rPr>
          <w:rFonts w:ascii="仿宋" w:eastAsia="仿宋" w:hAnsi="仿宋" w:cs="仿宋_GB2312" w:hint="eastAsia"/>
          <w:color w:val="333333"/>
          <w:sz w:val="32"/>
          <w:szCs w:val="32"/>
          <w:shd w:val="clear" w:color="auto" w:fill="FFFFFF"/>
        </w:rPr>
        <w:t>年底未能按预定计划支付。</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（二）改进的方向和具体措施</w:t>
      </w:r>
    </w:p>
    <w:p w:rsidR="00F62004" w:rsidRPr="001967D9" w:rsidRDefault="00F62004" w:rsidP="00F62004">
      <w:pPr>
        <w:spacing w:line="420" w:lineRule="exact"/>
        <w:ind w:firstLine="641"/>
        <w:rPr>
          <w:rFonts w:ascii="仿宋" w:eastAsia="仿宋" w:hAnsi="仿宋" w:cs="仿宋_GB2312"/>
          <w:color w:val="333333"/>
          <w:sz w:val="32"/>
          <w:szCs w:val="32"/>
          <w:shd w:val="clear" w:color="auto" w:fill="FFFFFF"/>
        </w:rPr>
      </w:pPr>
      <w:r w:rsidRPr="001967D9">
        <w:rPr>
          <w:rFonts w:ascii="仿宋" w:eastAsia="仿宋" w:hAnsi="仿宋" w:cs="仿宋_GB2312" w:hint="eastAsia"/>
          <w:color w:val="333333"/>
          <w:sz w:val="32"/>
          <w:szCs w:val="32"/>
          <w:shd w:val="clear" w:color="auto" w:fill="FFFFFF"/>
        </w:rPr>
        <w:t>建议县财政局及时下拨我单位专项经费，便于日常工作有序进行，更好地安排校建工程进度。</w:t>
      </w:r>
    </w:p>
    <w:p w:rsidR="00F62004" w:rsidRDefault="00F62004" w:rsidP="00F62004">
      <w:pPr>
        <w:spacing w:line="460" w:lineRule="exact"/>
        <w:ind w:firstLineChars="200" w:firstLine="640"/>
        <w:rPr>
          <w:rFonts w:ascii="楷体" w:eastAsia="楷体" w:hAnsi="楷体" w:cs="楷体"/>
          <w:b/>
          <w:bCs/>
          <w:sz w:val="32"/>
          <w:szCs w:val="32"/>
        </w:rPr>
      </w:pPr>
      <w:r w:rsidRPr="001967D9">
        <w:rPr>
          <w:rFonts w:ascii="仿宋" w:eastAsia="仿宋" w:hAnsi="仿宋" w:cs="仿宋_GB2312" w:hint="eastAsia"/>
          <w:color w:val="333333"/>
          <w:sz w:val="32"/>
          <w:szCs w:val="32"/>
          <w:shd w:val="clear" w:color="auto" w:fill="FFFFFF"/>
        </w:rPr>
        <w:t>我单位将加强校建项目过程环节管理，明确细化资金支付时间。</w:t>
      </w:r>
    </w:p>
    <w:p w:rsidR="00033353" w:rsidRDefault="00033353">
      <w:pPr>
        <w:spacing w:line="4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四、绩效自评结果拟应用和公开情况</w:t>
      </w:r>
    </w:p>
    <w:p w:rsidR="00F62004" w:rsidRPr="001967D9" w:rsidRDefault="00F62004" w:rsidP="00F62004">
      <w:pPr>
        <w:spacing w:line="420" w:lineRule="exact"/>
        <w:ind w:firstLine="630"/>
        <w:rPr>
          <w:rFonts w:ascii="仿宋" w:eastAsia="仿宋" w:hAnsi="仿宋"/>
          <w:b/>
          <w:sz w:val="32"/>
          <w:szCs w:val="32"/>
        </w:rPr>
      </w:pPr>
      <w:r w:rsidRPr="001967D9">
        <w:rPr>
          <w:rFonts w:ascii="仿宋" w:eastAsia="仿宋" w:hAnsi="仿宋" w:cs="仿宋_GB2312" w:hint="eastAsia"/>
          <w:bCs/>
          <w:sz w:val="32"/>
          <w:szCs w:val="32"/>
        </w:rPr>
        <w:t>评价得分</w:t>
      </w:r>
      <w:r>
        <w:rPr>
          <w:rFonts w:ascii="仿宋" w:eastAsia="仿宋" w:hAnsi="仿宋" w:cs="仿宋_GB2312" w:hint="eastAsia"/>
          <w:bCs/>
          <w:sz w:val="32"/>
          <w:szCs w:val="32"/>
        </w:rPr>
        <w:t>98</w:t>
      </w:r>
      <w:r w:rsidRPr="001967D9">
        <w:rPr>
          <w:rFonts w:ascii="仿宋" w:eastAsia="仿宋" w:hAnsi="仿宋" w:cs="仿宋_GB2312" w:hint="eastAsia"/>
          <w:bCs/>
          <w:sz w:val="32"/>
          <w:szCs w:val="32"/>
        </w:rPr>
        <w:t>分，等级</w:t>
      </w:r>
      <w:r>
        <w:rPr>
          <w:rFonts w:ascii="仿宋" w:eastAsia="仿宋" w:hAnsi="仿宋" w:cs="仿宋_GB2312" w:hint="eastAsia"/>
          <w:bCs/>
          <w:sz w:val="32"/>
          <w:szCs w:val="32"/>
        </w:rPr>
        <w:t>优</w:t>
      </w:r>
      <w:r w:rsidRPr="001967D9">
        <w:rPr>
          <w:rFonts w:ascii="仿宋" w:eastAsia="仿宋" w:hAnsi="仿宋" w:cs="仿宋_GB2312" w:hint="eastAsia"/>
          <w:bCs/>
          <w:sz w:val="32"/>
          <w:szCs w:val="32"/>
        </w:rPr>
        <w:t>。</w:t>
      </w:r>
    </w:p>
    <w:p w:rsidR="00F62004" w:rsidRDefault="00F62004">
      <w:pPr>
        <w:spacing w:line="460" w:lineRule="exact"/>
        <w:ind w:firstLineChars="200" w:firstLine="643"/>
        <w:rPr>
          <w:rFonts w:ascii="楷体" w:eastAsia="楷体" w:hAnsi="楷体" w:cs="楷体"/>
          <w:b/>
          <w:bCs/>
          <w:sz w:val="32"/>
          <w:szCs w:val="32"/>
        </w:rPr>
      </w:pPr>
    </w:p>
    <w:p w:rsidR="00F62004" w:rsidRDefault="00F62004">
      <w:pPr>
        <w:spacing w:line="460" w:lineRule="exact"/>
        <w:ind w:firstLineChars="200" w:firstLine="643"/>
        <w:rPr>
          <w:rFonts w:ascii="楷体" w:eastAsia="楷体" w:hAnsi="楷体" w:cs="楷体"/>
          <w:b/>
          <w:bCs/>
          <w:sz w:val="32"/>
          <w:szCs w:val="32"/>
        </w:rPr>
      </w:pPr>
    </w:p>
    <w:p w:rsidR="00033353" w:rsidRDefault="00033353">
      <w:pPr>
        <w:spacing w:line="460" w:lineRule="exact"/>
        <w:ind w:firstLineChars="200" w:firstLine="640"/>
        <w:rPr>
          <w:rFonts w:ascii="仿宋_GB2312" w:eastAsia="仿宋_GB2312" w:hAnsi="仿宋"/>
          <w:sz w:val="32"/>
          <w:szCs w:val="32"/>
        </w:rPr>
      </w:pPr>
    </w:p>
    <w:p w:rsidR="00033353" w:rsidRDefault="00033353">
      <w:pPr>
        <w:spacing w:line="460" w:lineRule="exact"/>
        <w:ind w:firstLineChars="1700" w:firstLine="5440"/>
        <w:rPr>
          <w:rFonts w:ascii="仿宋_GB2312" w:eastAsia="仿宋_GB2312" w:hAnsi="仿宋"/>
          <w:sz w:val="32"/>
          <w:szCs w:val="32"/>
        </w:rPr>
      </w:pPr>
      <w:r>
        <w:rPr>
          <w:rFonts w:ascii="仿宋_GB2312" w:eastAsia="仿宋_GB2312" w:hAnsi="仿宋" w:hint="eastAsia"/>
          <w:sz w:val="32"/>
          <w:szCs w:val="32"/>
        </w:rPr>
        <w:t>单位名称（盖章）</w:t>
      </w:r>
    </w:p>
    <w:p w:rsidR="00033353" w:rsidRDefault="00033353">
      <w:pPr>
        <w:spacing w:line="460" w:lineRule="exact"/>
        <w:ind w:firstLineChars="1800" w:firstLine="5760"/>
        <w:rPr>
          <w:rFonts w:ascii="仿宋_GB2312" w:eastAsia="仿宋_GB2312" w:hAnsi="仿宋"/>
          <w:sz w:val="32"/>
          <w:szCs w:val="32"/>
        </w:rPr>
      </w:pPr>
      <w:r>
        <w:rPr>
          <w:rFonts w:ascii="仿宋_GB2312" w:eastAsia="仿宋_GB2312" w:hAnsi="仿宋" w:hint="eastAsia"/>
          <w:sz w:val="32"/>
          <w:szCs w:val="32"/>
        </w:rPr>
        <w:t>2021年</w:t>
      </w:r>
      <w:r w:rsidR="00F62004">
        <w:rPr>
          <w:rFonts w:ascii="仿宋_GB2312" w:eastAsia="仿宋_GB2312" w:hAnsi="仿宋" w:hint="eastAsia"/>
          <w:sz w:val="32"/>
          <w:szCs w:val="32"/>
        </w:rPr>
        <w:t>3</w:t>
      </w:r>
      <w:r>
        <w:rPr>
          <w:rFonts w:ascii="仿宋_GB2312" w:eastAsia="仿宋_GB2312" w:hAnsi="仿宋" w:hint="eastAsia"/>
          <w:sz w:val="32"/>
          <w:szCs w:val="32"/>
        </w:rPr>
        <w:t>月</w:t>
      </w:r>
      <w:r w:rsidR="00F62004">
        <w:rPr>
          <w:rFonts w:ascii="仿宋_GB2312" w:eastAsia="仿宋_GB2312" w:hAnsi="仿宋" w:hint="eastAsia"/>
          <w:sz w:val="32"/>
          <w:szCs w:val="32"/>
        </w:rPr>
        <w:t>30</w:t>
      </w:r>
      <w:r>
        <w:rPr>
          <w:rFonts w:ascii="仿宋_GB2312" w:eastAsia="仿宋_GB2312" w:hAnsi="仿宋" w:hint="eastAsia"/>
          <w:sz w:val="32"/>
          <w:szCs w:val="32"/>
        </w:rPr>
        <w:t>日</w:t>
      </w:r>
    </w:p>
    <w:sectPr w:rsidR="00033353" w:rsidSect="00026B92">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DA" w:rsidRDefault="009D5BDA">
      <w:r>
        <w:separator/>
      </w:r>
    </w:p>
  </w:endnote>
  <w:endnote w:type="continuationSeparator" w:id="1">
    <w:p w:rsidR="009D5BDA" w:rsidRDefault="009D5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DA" w:rsidRDefault="009D5BDA">
      <w:r>
        <w:separator/>
      </w:r>
    </w:p>
  </w:footnote>
  <w:footnote w:type="continuationSeparator" w:id="1">
    <w:p w:rsidR="009D5BDA" w:rsidRDefault="009D5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88628"/>
    <w:multiLevelType w:val="singleLevel"/>
    <w:tmpl w:val="8EF88628"/>
    <w:lvl w:ilvl="0">
      <w:start w:val="2"/>
      <w:numFmt w:val="chineseCounting"/>
      <w:suff w:val="nothing"/>
      <w:lvlText w:val="（%1）"/>
      <w:lvlJc w:val="left"/>
      <w:rPr>
        <w:rFonts w:hint="eastAsia"/>
      </w:rPr>
    </w:lvl>
  </w:abstractNum>
  <w:abstractNum w:abstractNumId="1">
    <w:nsid w:val="59783A41"/>
    <w:multiLevelType w:val="singleLevel"/>
    <w:tmpl w:val="59783A4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DB4"/>
    <w:rsid w:val="00005DEA"/>
    <w:rsid w:val="00026B92"/>
    <w:rsid w:val="00033353"/>
    <w:rsid w:val="00052426"/>
    <w:rsid w:val="000C011A"/>
    <w:rsid w:val="000C2108"/>
    <w:rsid w:val="000D155C"/>
    <w:rsid w:val="0012257A"/>
    <w:rsid w:val="00153A42"/>
    <w:rsid w:val="00164539"/>
    <w:rsid w:val="00167302"/>
    <w:rsid w:val="00192178"/>
    <w:rsid w:val="001B4BB9"/>
    <w:rsid w:val="001F0733"/>
    <w:rsid w:val="002157A2"/>
    <w:rsid w:val="00271149"/>
    <w:rsid w:val="0027500B"/>
    <w:rsid w:val="00291F9E"/>
    <w:rsid w:val="0030753D"/>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5321A9"/>
    <w:rsid w:val="005427C0"/>
    <w:rsid w:val="00544B53"/>
    <w:rsid w:val="00575063"/>
    <w:rsid w:val="005B4C9B"/>
    <w:rsid w:val="005B5793"/>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5BDA"/>
    <w:rsid w:val="009D6C0E"/>
    <w:rsid w:val="009F61EA"/>
    <w:rsid w:val="00A318E0"/>
    <w:rsid w:val="00A34B0D"/>
    <w:rsid w:val="00A4544B"/>
    <w:rsid w:val="00A8467A"/>
    <w:rsid w:val="00AA0B9E"/>
    <w:rsid w:val="00AB2D19"/>
    <w:rsid w:val="00AB5AB7"/>
    <w:rsid w:val="00AC155E"/>
    <w:rsid w:val="00AF68BD"/>
    <w:rsid w:val="00B13A63"/>
    <w:rsid w:val="00B25868"/>
    <w:rsid w:val="00B25EAE"/>
    <w:rsid w:val="00B72CDD"/>
    <w:rsid w:val="00B83BF7"/>
    <w:rsid w:val="00BB2456"/>
    <w:rsid w:val="00BB663F"/>
    <w:rsid w:val="00C039FA"/>
    <w:rsid w:val="00C143CB"/>
    <w:rsid w:val="00C17A0F"/>
    <w:rsid w:val="00CD010D"/>
    <w:rsid w:val="00D06564"/>
    <w:rsid w:val="00D51DB4"/>
    <w:rsid w:val="00D64C88"/>
    <w:rsid w:val="00D65408"/>
    <w:rsid w:val="00D74BC6"/>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7D90"/>
    <w:rsid w:val="05B6135C"/>
    <w:rsid w:val="0D021A7D"/>
    <w:rsid w:val="0FAF02A7"/>
    <w:rsid w:val="180271E1"/>
    <w:rsid w:val="2234389F"/>
    <w:rsid w:val="2C735699"/>
    <w:rsid w:val="383545BB"/>
    <w:rsid w:val="41187497"/>
    <w:rsid w:val="465A3DA9"/>
    <w:rsid w:val="47FE7C97"/>
    <w:rsid w:val="58D973DD"/>
    <w:rsid w:val="61C962D9"/>
    <w:rsid w:val="632F06C8"/>
    <w:rsid w:val="6626486F"/>
    <w:rsid w:val="69171AF5"/>
    <w:rsid w:val="6982158C"/>
    <w:rsid w:val="69B712CE"/>
    <w:rsid w:val="6B821078"/>
    <w:rsid w:val="6CFD166B"/>
    <w:rsid w:val="6E325870"/>
    <w:rsid w:val="704B59F2"/>
    <w:rsid w:val="746852B3"/>
    <w:rsid w:val="798F55D5"/>
    <w:rsid w:val="7A776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B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26B92"/>
    <w:pPr>
      <w:tabs>
        <w:tab w:val="center" w:pos="4153"/>
        <w:tab w:val="right" w:pos="8306"/>
      </w:tabs>
      <w:snapToGrid w:val="0"/>
      <w:jc w:val="left"/>
    </w:pPr>
    <w:rPr>
      <w:sz w:val="18"/>
      <w:szCs w:val="18"/>
    </w:rPr>
  </w:style>
  <w:style w:type="character" w:customStyle="1" w:styleId="Char">
    <w:name w:val="页脚 Char"/>
    <w:link w:val="a3"/>
    <w:rsid w:val="00026B92"/>
    <w:rPr>
      <w:kern w:val="2"/>
      <w:sz w:val="18"/>
      <w:szCs w:val="18"/>
    </w:rPr>
  </w:style>
  <w:style w:type="paragraph" w:styleId="a4">
    <w:name w:val="header"/>
    <w:basedOn w:val="a"/>
    <w:link w:val="Char0"/>
    <w:rsid w:val="00026B9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026B92"/>
    <w:rPr>
      <w:kern w:val="2"/>
      <w:sz w:val="18"/>
      <w:szCs w:val="18"/>
    </w:rPr>
  </w:style>
  <w:style w:type="paragraph" w:styleId="a5">
    <w:name w:val="Normal (Web)"/>
    <w:basedOn w:val="a"/>
    <w:rsid w:val="00026B92"/>
    <w:pPr>
      <w:widowControl/>
      <w:spacing w:before="100" w:beforeAutospacing="1" w:after="100" w:afterAutospacing="1"/>
      <w:jc w:val="left"/>
    </w:pPr>
    <w:rPr>
      <w:rFonts w:ascii="宋体" w:hAnsi="宋体" w:cs="宋体"/>
      <w:kern w:val="0"/>
      <w:sz w:val="24"/>
    </w:rPr>
  </w:style>
  <w:style w:type="paragraph" w:styleId="a6">
    <w:name w:val="Title"/>
    <w:basedOn w:val="a"/>
    <w:qFormat/>
    <w:rsid w:val="00026B92"/>
    <w:pPr>
      <w:spacing w:before="240" w:after="60"/>
      <w:jc w:val="center"/>
      <w:outlineLvl w:val="0"/>
    </w:pPr>
    <w:rPr>
      <w:rFonts w:ascii="Arial" w:hAnsi="Arial" w:cs="Arial"/>
      <w:b/>
      <w:bCs/>
      <w:sz w:val="32"/>
      <w:szCs w:val="32"/>
    </w:rPr>
  </w:style>
  <w:style w:type="paragraph" w:customStyle="1" w:styleId="a7">
    <w:name w:val="办公自动化专用标题"/>
    <w:basedOn w:val="a6"/>
    <w:rsid w:val="00026B92"/>
    <w:pPr>
      <w:spacing w:line="560" w:lineRule="atLeast"/>
    </w:pPr>
    <w:rPr>
      <w:rFonts w:ascii="宋体" w:cs="Times New Roman"/>
      <w:bCs w:val="0"/>
      <w:kern w:val="0"/>
      <w:sz w:val="44"/>
      <w:szCs w:val="20"/>
    </w:rPr>
  </w:style>
  <w:style w:type="character" w:customStyle="1" w:styleId="newss1">
    <w:name w:val="newss1"/>
    <w:qFormat/>
    <w:rsid w:val="0012257A"/>
    <w:rPr>
      <w:color w:val="000000"/>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470</Words>
  <Characters>2682</Characters>
  <Application>Microsoft Office Word</Application>
  <DocSecurity>0</DocSecurity>
  <Lines>22</Lines>
  <Paragraphs>6</Paragraphs>
  <ScaleCrop>false</ScaleCrop>
  <Company>微软中国</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user</cp:lastModifiedBy>
  <cp:revision>3</cp:revision>
  <cp:lastPrinted>2017-06-28T08:06:00Z</cp:lastPrinted>
  <dcterms:created xsi:type="dcterms:W3CDTF">2022-04-02T02:44:00Z</dcterms:created>
  <dcterms:modified xsi:type="dcterms:W3CDTF">2022-04-02T03:32:00Z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0A3F3952C0D84DB3925ABD108AFA8444</vt:lpwstr>
  </property>
</Properties>
</file>