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52"/>
          <w:szCs w:val="52"/>
        </w:rPr>
      </w:pPr>
      <w:r>
        <w:rPr>
          <w:rFonts w:hint="eastAsia" w:ascii="仿宋" w:hAnsi="仿宋" w:eastAsia="仿宋" w:cs="仿宋"/>
          <w:b/>
          <w:bCs/>
          <w:sz w:val="52"/>
          <w:szCs w:val="52"/>
        </w:rPr>
        <w:t>全南县</w:t>
      </w:r>
      <w:r>
        <w:rPr>
          <w:rFonts w:hint="eastAsia" w:ascii="仿宋" w:hAnsi="仿宋" w:eastAsia="仿宋" w:cs="仿宋"/>
          <w:b/>
          <w:bCs/>
          <w:sz w:val="52"/>
          <w:szCs w:val="52"/>
          <w:lang w:eastAsia="zh-CN"/>
        </w:rPr>
        <w:t>社迳中心小学</w:t>
      </w:r>
      <w:r>
        <w:rPr>
          <w:rFonts w:hint="eastAsia" w:ascii="仿宋" w:hAnsi="仿宋" w:eastAsia="仿宋" w:cs="仿宋"/>
          <w:b/>
          <w:bCs/>
          <w:sz w:val="52"/>
          <w:szCs w:val="52"/>
        </w:rPr>
        <w:t>整体支出</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52"/>
          <w:szCs w:val="52"/>
        </w:rPr>
      </w:pPr>
      <w:r>
        <w:rPr>
          <w:rFonts w:hint="eastAsia" w:ascii="仿宋" w:hAnsi="仿宋" w:eastAsia="仿宋" w:cs="仿宋"/>
          <w:b/>
          <w:bCs/>
          <w:sz w:val="52"/>
          <w:szCs w:val="52"/>
        </w:rPr>
        <w:t>绩效自评报告</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40"/>
          <w:szCs w:val="40"/>
        </w:rPr>
      </w:pPr>
      <w:r>
        <w:rPr>
          <w:rFonts w:hint="eastAsia" w:ascii="仿宋" w:hAnsi="仿宋" w:eastAsia="仿宋" w:cs="仿宋"/>
          <w:b/>
          <w:bCs/>
          <w:sz w:val="40"/>
          <w:szCs w:val="40"/>
        </w:rPr>
        <w:t>（2020年）</w:t>
      </w:r>
    </w:p>
    <w:p>
      <w:pPr>
        <w:spacing w:line="460" w:lineRule="exact"/>
        <w:ind w:firstLine="643" w:firstLineChars="200"/>
        <w:outlineLvl w:val="0"/>
        <w:rPr>
          <w:rFonts w:ascii="仿宋" w:hAnsi="仿宋" w:eastAsia="仿宋"/>
          <w:b/>
          <w:bCs/>
          <w:sz w:val="32"/>
          <w:szCs w:val="32"/>
        </w:rPr>
      </w:pPr>
      <w:r>
        <w:rPr>
          <w:rFonts w:hint="eastAsia" w:ascii="仿宋" w:hAnsi="仿宋" w:eastAsia="仿宋"/>
          <w:b/>
          <w:bCs/>
          <w:sz w:val="32"/>
          <w:szCs w:val="32"/>
        </w:rPr>
        <w:t>一、部门概况</w:t>
      </w:r>
    </w:p>
    <w:p>
      <w:pPr>
        <w:spacing w:line="460" w:lineRule="exact"/>
        <w:ind w:firstLine="640" w:firstLineChars="200"/>
        <w:rPr>
          <w:rFonts w:ascii="仿宋" w:hAnsi="仿宋" w:eastAsia="仿宋" w:cs="楷体"/>
          <w:b w:val="0"/>
          <w:bCs w:val="0"/>
          <w:sz w:val="32"/>
          <w:szCs w:val="32"/>
        </w:rPr>
      </w:pPr>
      <w:r>
        <w:rPr>
          <w:rFonts w:hint="eastAsia" w:ascii="仿宋" w:hAnsi="仿宋" w:eastAsia="仿宋" w:cs="楷体"/>
          <w:b w:val="0"/>
          <w:bCs w:val="0"/>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00" w:lineRule="exact"/>
        <w:ind w:firstLine="629"/>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default" w:ascii="仿宋" w:hAnsi="仿宋" w:eastAsia="仿宋"/>
          <w:color w:val="000000"/>
          <w:sz w:val="30"/>
          <w:szCs w:val="30"/>
          <w:lang w:val="en-US"/>
        </w:rPr>
      </w:pPr>
      <w:r>
        <w:rPr>
          <w:rFonts w:hint="eastAsia" w:ascii="仿宋" w:hAnsi="仿宋" w:eastAsia="仿宋" w:cs="仿宋"/>
          <w:sz w:val="30"/>
          <w:szCs w:val="30"/>
          <w:lang w:eastAsia="zh-CN"/>
        </w:rPr>
        <w:t>全南县社迳中心小学包括：老屋小学教学点、曾屋小学教学点、塔下小学教学点、典模小学教学点和社迳乡幼儿园。</w:t>
      </w:r>
      <w:r>
        <w:rPr>
          <w:rFonts w:hint="eastAsia" w:ascii="仿宋" w:hAnsi="仿宋" w:eastAsia="仿宋" w:cs="仿宋"/>
          <w:sz w:val="30"/>
          <w:szCs w:val="30"/>
        </w:rPr>
        <w:t>内部机构设办公室、教导处、总务处、</w:t>
      </w:r>
      <w:r>
        <w:rPr>
          <w:rFonts w:hint="eastAsia" w:ascii="仿宋" w:hAnsi="仿宋" w:eastAsia="仿宋" w:cs="仿宋"/>
          <w:sz w:val="30"/>
          <w:szCs w:val="30"/>
          <w:lang w:eastAsia="zh-CN"/>
        </w:rPr>
        <w:t>电教处。小学共有六个年级，每个年级两个班，共</w:t>
      </w:r>
      <w:r>
        <w:rPr>
          <w:rFonts w:hint="eastAsia" w:ascii="仿宋" w:hAnsi="仿宋" w:eastAsia="仿宋" w:cs="仿宋"/>
          <w:sz w:val="30"/>
          <w:szCs w:val="30"/>
          <w:lang w:val="en-US" w:eastAsia="zh-CN"/>
        </w:rPr>
        <w:t>12个班。幼儿园共三个年级，</w:t>
      </w:r>
      <w:r>
        <w:rPr>
          <w:rFonts w:hint="eastAsia" w:ascii="仿宋" w:hAnsi="仿宋" w:eastAsia="仿宋" w:cs="仿宋"/>
          <w:sz w:val="30"/>
          <w:szCs w:val="30"/>
          <w:lang w:eastAsia="zh-CN"/>
        </w:rPr>
        <w:t>每个年级两个班，共</w:t>
      </w:r>
      <w:r>
        <w:rPr>
          <w:rFonts w:hint="eastAsia" w:ascii="仿宋" w:hAnsi="仿宋" w:eastAsia="仿宋" w:cs="仿宋"/>
          <w:sz w:val="30"/>
          <w:szCs w:val="30"/>
          <w:lang w:val="en-US" w:eastAsia="zh-CN"/>
        </w:rPr>
        <w:t>6个班.</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仿宋" w:hAnsi="仿宋" w:eastAsia="仿宋" w:cs="仿宋_GB2312"/>
          <w:sz w:val="32"/>
          <w:szCs w:val="32"/>
        </w:rPr>
      </w:pPr>
      <w:r>
        <w:rPr>
          <w:rFonts w:hint="eastAsia" w:ascii="仿宋" w:hAnsi="仿宋" w:eastAsia="仿宋" w:cs="仿宋"/>
          <w:sz w:val="30"/>
          <w:szCs w:val="30"/>
          <w:lang w:eastAsia="zh-CN"/>
        </w:rPr>
        <w:t>全南县社迳中心小学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32</w:t>
      </w:r>
      <w:r>
        <w:rPr>
          <w:rFonts w:hint="eastAsia" w:ascii="仿宋" w:hAnsi="仿宋" w:eastAsia="仿宋" w:cs="仿宋_GB2312"/>
          <w:sz w:val="32"/>
          <w:szCs w:val="32"/>
        </w:rPr>
        <w:t>人</w:t>
      </w:r>
      <w:r>
        <w:rPr>
          <w:rFonts w:hint="eastAsia" w:ascii="仿宋" w:hAnsi="仿宋" w:eastAsia="仿宋" w:cs="仿宋_GB2312"/>
          <w:sz w:val="32"/>
          <w:szCs w:val="32"/>
          <w:lang w:eastAsia="zh-CN"/>
        </w:rPr>
        <w:t>，其中</w:t>
      </w:r>
      <w:r>
        <w:rPr>
          <w:rFonts w:hint="eastAsia" w:ascii="仿宋" w:hAnsi="仿宋" w:eastAsia="仿宋" w:cs="仿宋_GB2312"/>
          <w:sz w:val="32"/>
          <w:szCs w:val="32"/>
        </w:rPr>
        <w:t>全额补助事业编制</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人；全额补助事业退休人数</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34</w:t>
      </w:r>
      <w:r>
        <w:rPr>
          <w:rFonts w:hint="eastAsia" w:ascii="仿宋" w:hAnsi="仿宋" w:eastAsia="仿宋" w:cs="仿宋"/>
          <w:sz w:val="30"/>
          <w:szCs w:val="30"/>
        </w:rPr>
        <w:t>人；年末学生人数</w:t>
      </w:r>
      <w:r>
        <w:rPr>
          <w:rFonts w:hint="eastAsia" w:ascii="仿宋" w:hAnsi="仿宋" w:eastAsia="仿宋" w:cs="仿宋"/>
          <w:sz w:val="30"/>
          <w:szCs w:val="30"/>
          <w:lang w:val="en-US" w:eastAsia="zh-CN"/>
        </w:rPr>
        <w:t>409</w:t>
      </w:r>
      <w:r>
        <w:rPr>
          <w:rFonts w:hint="eastAsia" w:ascii="仿宋" w:hAnsi="仿宋" w:eastAsia="仿宋" w:cs="仿宋"/>
          <w:sz w:val="30"/>
          <w:szCs w:val="30"/>
        </w:rPr>
        <w:t>人。</w:t>
      </w:r>
      <w:r>
        <w:rPr>
          <w:rFonts w:hint="eastAsia" w:ascii="仿宋" w:hAnsi="仿宋" w:eastAsia="仿宋" w:cs="仿宋"/>
          <w:sz w:val="30"/>
          <w:szCs w:val="30"/>
          <w:lang w:eastAsia="zh-CN"/>
        </w:rPr>
        <w:t>社迳乡幼儿园编制人数</w:t>
      </w:r>
      <w:r>
        <w:rPr>
          <w:rFonts w:hint="eastAsia" w:ascii="仿宋" w:hAnsi="仿宋" w:eastAsia="仿宋" w:cs="仿宋"/>
          <w:sz w:val="30"/>
          <w:szCs w:val="30"/>
          <w:lang w:val="en-US" w:eastAsia="zh-CN"/>
        </w:rPr>
        <w:t>1人，实有人数11人，</w:t>
      </w:r>
      <w:r>
        <w:rPr>
          <w:rFonts w:hint="eastAsia" w:ascii="仿宋" w:hAnsi="仿宋" w:eastAsia="仿宋" w:cs="仿宋"/>
          <w:sz w:val="30"/>
          <w:szCs w:val="30"/>
        </w:rPr>
        <w:t>年末学生人数</w:t>
      </w:r>
      <w:r>
        <w:rPr>
          <w:rFonts w:hint="eastAsia" w:ascii="仿宋" w:hAnsi="仿宋" w:eastAsia="仿宋" w:cs="仿宋"/>
          <w:sz w:val="30"/>
          <w:szCs w:val="30"/>
          <w:lang w:val="en-US" w:eastAsia="zh-CN"/>
        </w:rPr>
        <w:t>167人。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在资金使用审批上按照先审核后签字的原则，由财务股财务核算中心进行票据审核和资金支付。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教育局</w:t>
      </w:r>
      <w:r>
        <w:rPr>
          <w:rFonts w:hint="eastAsia" w:ascii="仿宋" w:hAnsi="仿宋" w:eastAsia="仿宋" w:cs="仿宋_GB2312"/>
          <w:sz w:val="32"/>
          <w:szCs w:val="32"/>
        </w:rPr>
        <w:t>人秘股和档案室统一进行保管和管理，学校会计档案每年年底由财务核算中心移交给学校进行保管。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w:t>
      </w:r>
      <w:r>
        <w:rPr>
          <w:rFonts w:hint="eastAsia" w:ascii="仿宋" w:hAnsi="仿宋" w:eastAsia="仿宋" w:cs="仿宋_GB2312"/>
          <w:sz w:val="32"/>
          <w:szCs w:val="32"/>
          <w:lang w:eastAsia="zh-CN"/>
        </w:rPr>
        <w:t>实施小学教育和学前教育</w:t>
      </w:r>
      <w:r>
        <w:rPr>
          <w:rFonts w:hint="eastAsia" w:ascii="仿宋" w:hAnsi="仿宋" w:eastAsia="仿宋" w:cs="仿宋_GB2312"/>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w:t>
      </w:r>
      <w:r>
        <w:rPr>
          <w:rFonts w:hint="eastAsia" w:ascii="仿宋" w:hAnsi="仿宋" w:eastAsia="仿宋" w:cs="仿宋_GB2312"/>
          <w:color w:val="000000"/>
          <w:sz w:val="32"/>
          <w:szCs w:val="32"/>
          <w:lang w:eastAsia="zh-CN"/>
        </w:rPr>
        <w:t>全南县教育科技体育局的</w:t>
      </w:r>
      <w:r>
        <w:rPr>
          <w:rFonts w:hint="eastAsia" w:ascii="仿宋" w:hAnsi="仿宋" w:eastAsia="仿宋" w:cs="仿宋_GB2312"/>
          <w:color w:val="000000"/>
          <w:sz w:val="32"/>
          <w:szCs w:val="32"/>
        </w:rPr>
        <w:t>正确领导</w:t>
      </w:r>
      <w:r>
        <w:rPr>
          <w:rFonts w:hint="eastAsia" w:ascii="仿宋" w:hAnsi="仿宋" w:eastAsia="仿宋" w:cs="仿宋_GB2312"/>
          <w:color w:val="000000"/>
          <w:sz w:val="32"/>
          <w:szCs w:val="32"/>
          <w:lang w:eastAsia="zh-CN"/>
        </w:rPr>
        <w:t>和</w:t>
      </w:r>
      <w:r>
        <w:rPr>
          <w:rFonts w:hint="eastAsia" w:ascii="仿宋" w:hAnsi="仿宋" w:eastAsia="仿宋" w:cs="仿宋_GB2312"/>
          <w:color w:val="000000"/>
          <w:sz w:val="32"/>
          <w:szCs w:val="32"/>
        </w:rPr>
        <w:t>大力支持下，我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全体干部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目标1：</w:t>
      </w:r>
      <w:r>
        <w:rPr>
          <w:rFonts w:hint="eastAsia" w:ascii="仿宋" w:hAnsi="仿宋" w:eastAsia="仿宋" w:cs="仿宋"/>
          <w:i w:val="0"/>
          <w:iCs w:val="0"/>
          <w:caps w:val="0"/>
          <w:color w:val="000000"/>
          <w:spacing w:val="0"/>
          <w:sz w:val="32"/>
          <w:szCs w:val="32"/>
          <w:shd w:val="clear" w:fill="FFFFFF"/>
        </w:rPr>
        <w:t>完成规定的教学任务，提高教育教学质量,办学水平达标</w:t>
      </w:r>
      <w:r>
        <w:rPr>
          <w:rFonts w:hint="eastAsia" w:ascii="仿宋" w:hAnsi="仿宋" w:eastAsia="仿宋" w:cs="仿宋"/>
          <w:i w:val="0"/>
          <w:iCs w:val="0"/>
          <w:caps w:val="0"/>
          <w:color w:val="000000"/>
          <w:spacing w:val="0"/>
          <w:sz w:val="32"/>
          <w:szCs w:val="32"/>
          <w:shd w:val="clear" w:fill="FFFFFF"/>
          <w:lang w:eastAsia="zh-CN"/>
        </w:rPr>
        <w:t>。</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目标2：</w:t>
      </w:r>
      <w:r>
        <w:rPr>
          <w:rFonts w:hint="eastAsia" w:ascii="仿宋" w:hAnsi="仿宋" w:eastAsia="仿宋" w:cs="仿宋"/>
          <w:sz w:val="32"/>
          <w:szCs w:val="32"/>
        </w:rPr>
        <w:t>全面推行素质教育，努力提高小学初中教育教学质量</w:t>
      </w:r>
      <w:r>
        <w:rPr>
          <w:rFonts w:hint="eastAsia" w:ascii="仿宋" w:hAnsi="仿宋" w:eastAsia="仿宋" w:cs="仿宋"/>
          <w:sz w:val="32"/>
          <w:szCs w:val="32"/>
          <w:lang w:eastAsia="zh-CN"/>
        </w:rPr>
        <w:t>。</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目标3： </w:t>
      </w:r>
      <w:r>
        <w:rPr>
          <w:rFonts w:hint="eastAsia" w:ascii="仿宋" w:hAnsi="仿宋" w:eastAsia="仿宋" w:cs="仿宋"/>
          <w:sz w:val="32"/>
          <w:szCs w:val="32"/>
        </w:rPr>
        <w:t>通过开展各项教师培训活动，</w:t>
      </w:r>
      <w:r>
        <w:rPr>
          <w:rFonts w:hint="eastAsia" w:ascii="仿宋" w:hAnsi="仿宋" w:eastAsia="仿宋" w:cs="仿宋"/>
          <w:i w:val="0"/>
          <w:iCs w:val="0"/>
          <w:caps w:val="0"/>
          <w:color w:val="000000"/>
          <w:spacing w:val="0"/>
          <w:sz w:val="32"/>
          <w:szCs w:val="32"/>
          <w:shd w:val="clear" w:fill="FFFFFF"/>
        </w:rPr>
        <w:t>加大教师培训力度</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sz w:val="32"/>
          <w:szCs w:val="32"/>
        </w:rPr>
        <w:t>加强教师队伍建设。</w:t>
      </w:r>
      <w:r>
        <w:rPr>
          <w:rFonts w:hint="eastAsia" w:ascii="仿宋" w:hAnsi="仿宋" w:eastAsia="仿宋" w:cs="仿宋"/>
          <w:sz w:val="32"/>
          <w:szCs w:val="32"/>
        </w:rPr>
        <w:t xml:space="preserve">   </w:t>
      </w:r>
    </w:p>
    <w:p>
      <w:pPr>
        <w:spacing w:line="460" w:lineRule="exact"/>
        <w:ind w:firstLine="640" w:firstLineChars="200"/>
        <w:rPr>
          <w:rFonts w:hint="eastAsia" w:ascii="仿宋" w:hAnsi="仿宋" w:eastAsia="仿宋" w:cs="仿宋"/>
          <w:b/>
          <w:bCs/>
          <w:i w:val="0"/>
          <w:iCs w:val="0"/>
          <w:caps w:val="0"/>
          <w:color w:val="000000"/>
          <w:spacing w:val="0"/>
          <w:sz w:val="32"/>
          <w:szCs w:val="32"/>
          <w:shd w:val="clear" w:fill="FFFFFF"/>
        </w:rPr>
      </w:pPr>
      <w:r>
        <w:rPr>
          <w:rFonts w:hint="eastAsia" w:ascii="仿宋" w:hAnsi="仿宋" w:eastAsia="仿宋" w:cs="仿宋"/>
          <w:sz w:val="32"/>
          <w:szCs w:val="32"/>
        </w:rPr>
        <w:t>目标4：</w:t>
      </w:r>
      <w:r>
        <w:rPr>
          <w:rFonts w:hint="eastAsia" w:ascii="仿宋" w:hAnsi="仿宋" w:eastAsia="仿宋" w:cs="仿宋"/>
          <w:i w:val="0"/>
          <w:iCs w:val="0"/>
          <w:caps w:val="0"/>
          <w:color w:val="000000"/>
          <w:spacing w:val="0"/>
          <w:sz w:val="32"/>
          <w:szCs w:val="32"/>
          <w:shd w:val="clear" w:fill="FFFFFF"/>
        </w:rPr>
        <w:t>不断地改善办学条件，努力建设好和管理好学校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2020年初县财政局批复我单位</w:t>
      </w:r>
      <w:r>
        <w:rPr>
          <w:rFonts w:hint="eastAsia" w:ascii="仿宋" w:hAnsi="仿宋" w:eastAsia="仿宋"/>
          <w:sz w:val="32"/>
          <w:szCs w:val="32"/>
          <w:lang w:eastAsia="zh-CN"/>
        </w:rPr>
        <w:t>财政拨款</w:t>
      </w:r>
      <w:r>
        <w:rPr>
          <w:rFonts w:hint="eastAsia" w:ascii="仿宋" w:hAnsi="仿宋" w:eastAsia="仿宋"/>
          <w:sz w:val="32"/>
          <w:szCs w:val="32"/>
        </w:rPr>
        <w:t>预算</w:t>
      </w:r>
      <w:r>
        <w:rPr>
          <w:rFonts w:hint="eastAsia" w:ascii="仿宋" w:hAnsi="仿宋" w:eastAsia="仿宋"/>
          <w:sz w:val="32"/>
          <w:szCs w:val="32"/>
          <w:lang w:eastAsia="zh-CN"/>
        </w:rPr>
        <w:t>收入</w:t>
      </w:r>
      <w:r>
        <w:rPr>
          <w:rFonts w:hint="eastAsia" w:ascii="仿宋" w:hAnsi="仿宋" w:eastAsia="仿宋"/>
          <w:sz w:val="32"/>
          <w:szCs w:val="32"/>
          <w:lang w:val="en-US" w:eastAsia="zh-CN"/>
        </w:rPr>
        <w:t>645.89</w:t>
      </w:r>
      <w:r>
        <w:rPr>
          <w:rFonts w:hint="eastAsia" w:ascii="仿宋" w:hAnsi="仿宋" w:eastAsia="仿宋"/>
          <w:sz w:val="32"/>
          <w:szCs w:val="32"/>
        </w:rPr>
        <w:t>万元</w:t>
      </w:r>
      <w:r>
        <w:rPr>
          <w:rFonts w:hint="eastAsia" w:ascii="仿宋" w:hAnsi="仿宋" w:eastAsia="仿宋"/>
          <w:sz w:val="32"/>
          <w:szCs w:val="32"/>
          <w:lang w:eastAsia="zh-CN"/>
        </w:rPr>
        <w:t>，上年结转结余</w:t>
      </w:r>
      <w:r>
        <w:rPr>
          <w:rFonts w:hint="eastAsia" w:ascii="仿宋" w:hAnsi="仿宋" w:eastAsia="仿宋"/>
          <w:sz w:val="32"/>
          <w:szCs w:val="32"/>
          <w:lang w:val="en-US" w:eastAsia="zh-CN"/>
        </w:rPr>
        <w:t>13.18万元。</w:t>
      </w:r>
      <w:r>
        <w:rPr>
          <w:rFonts w:hint="eastAsia" w:ascii="仿宋" w:hAnsi="仿宋" w:eastAsia="仿宋"/>
          <w:sz w:val="32"/>
          <w:szCs w:val="32"/>
        </w:rPr>
        <w:t>完成支出</w:t>
      </w:r>
      <w:r>
        <w:rPr>
          <w:rFonts w:hint="eastAsia" w:ascii="仿宋" w:hAnsi="仿宋" w:eastAsia="仿宋"/>
          <w:sz w:val="32"/>
          <w:szCs w:val="32"/>
          <w:lang w:val="en-US" w:eastAsia="zh-CN"/>
        </w:rPr>
        <w:t>658.16</w:t>
      </w:r>
      <w:r>
        <w:rPr>
          <w:rFonts w:hint="eastAsia" w:ascii="仿宋" w:hAnsi="仿宋" w:eastAsia="仿宋"/>
          <w:sz w:val="32"/>
          <w:szCs w:val="32"/>
        </w:rPr>
        <w:t>万元，其中工资福利支出</w:t>
      </w:r>
      <w:r>
        <w:rPr>
          <w:rFonts w:hint="eastAsia" w:ascii="仿宋" w:hAnsi="仿宋" w:eastAsia="仿宋"/>
          <w:sz w:val="32"/>
          <w:szCs w:val="32"/>
          <w:lang w:val="en-US" w:eastAsia="zh-CN"/>
        </w:rPr>
        <w:t>307.77</w:t>
      </w:r>
      <w:r>
        <w:rPr>
          <w:rFonts w:hint="eastAsia" w:ascii="仿宋" w:hAnsi="仿宋" w:eastAsia="仿宋"/>
          <w:sz w:val="32"/>
          <w:szCs w:val="32"/>
        </w:rPr>
        <w:t>万元、商品和服务支出</w:t>
      </w:r>
      <w:r>
        <w:rPr>
          <w:rFonts w:hint="eastAsia" w:ascii="仿宋" w:hAnsi="仿宋" w:eastAsia="仿宋"/>
          <w:sz w:val="32"/>
          <w:szCs w:val="32"/>
          <w:lang w:val="en-US" w:eastAsia="zh-CN"/>
        </w:rPr>
        <w:t>65.66</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31.29</w:t>
      </w:r>
      <w:r>
        <w:rPr>
          <w:rFonts w:hint="eastAsia" w:ascii="仿宋" w:hAnsi="仿宋" w:eastAsia="仿宋"/>
          <w:sz w:val="32"/>
          <w:szCs w:val="32"/>
        </w:rPr>
        <w:t>万元、其他资本性支出</w:t>
      </w:r>
      <w:r>
        <w:rPr>
          <w:rFonts w:hint="eastAsia" w:ascii="仿宋" w:hAnsi="仿宋" w:eastAsia="仿宋"/>
          <w:sz w:val="32"/>
          <w:szCs w:val="32"/>
          <w:lang w:val="en-US" w:eastAsia="zh-CN"/>
        </w:rPr>
        <w:t>253.44</w:t>
      </w:r>
      <w:r>
        <w:rPr>
          <w:rFonts w:hint="eastAsia" w:ascii="仿宋" w:hAnsi="仿宋" w:eastAsia="仿宋"/>
          <w:sz w:val="32"/>
          <w:szCs w:val="32"/>
        </w:rPr>
        <w:t>万元；</w:t>
      </w:r>
      <w:r>
        <w:rPr>
          <w:rFonts w:hint="eastAsia" w:ascii="仿宋" w:hAnsi="仿宋" w:eastAsia="仿宋"/>
          <w:sz w:val="30"/>
          <w:szCs w:val="30"/>
        </w:rPr>
        <w:t>年末结转和结余</w:t>
      </w:r>
      <w:r>
        <w:rPr>
          <w:rFonts w:hint="eastAsia" w:ascii="仿宋" w:hAnsi="仿宋" w:eastAsia="仿宋"/>
          <w:sz w:val="30"/>
          <w:szCs w:val="30"/>
          <w:lang w:val="en-US" w:eastAsia="zh-CN"/>
        </w:rPr>
        <w:t>0.91</w:t>
      </w:r>
      <w:r>
        <w:rPr>
          <w:rFonts w:hint="eastAsia" w:ascii="仿宋" w:hAnsi="仿宋" w:eastAsia="仿宋"/>
          <w:sz w:val="30"/>
          <w:szCs w:val="30"/>
        </w:rPr>
        <w:t>万元</w:t>
      </w:r>
      <w:r>
        <w:rPr>
          <w:rFonts w:hint="eastAsia" w:ascii="仿宋" w:hAnsi="仿宋" w:eastAsia="仿宋"/>
          <w:sz w:val="32"/>
          <w:szCs w:val="32"/>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w:t>
      </w:r>
      <w:r>
        <w:rPr>
          <w:rFonts w:hint="eastAsia" w:ascii="仿宋" w:hAnsi="仿宋" w:eastAsia="仿宋" w:cs="仿宋_GB2312"/>
          <w:bCs/>
          <w:sz w:val="32"/>
          <w:szCs w:val="32"/>
          <w:lang w:eastAsia="zh-CN"/>
        </w:rPr>
        <w:t>社迳中心小学</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0.45</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0.45</w:t>
      </w:r>
      <w:r>
        <w:rPr>
          <w:rFonts w:hint="eastAsia" w:ascii="仿宋" w:hAnsi="仿宋" w:eastAsia="仿宋" w:cs="仿宋_GB2312"/>
          <w:bCs/>
          <w:color w:val="333333"/>
          <w:sz w:val="32"/>
          <w:szCs w:val="32"/>
          <w:shd w:val="clear" w:color="auto" w:fill="FFFFFF"/>
        </w:rPr>
        <w:t>万元，与上年同比</w:t>
      </w:r>
      <w:r>
        <w:rPr>
          <w:rFonts w:hint="eastAsia" w:ascii="仿宋" w:hAnsi="仿宋" w:eastAsia="仿宋" w:cs="仿宋_GB2312"/>
          <w:bCs/>
          <w:color w:val="333333"/>
          <w:sz w:val="32"/>
          <w:szCs w:val="32"/>
          <w:shd w:val="clear" w:color="auto" w:fill="FFFFFF"/>
          <w:lang w:eastAsia="zh-CN"/>
        </w:rPr>
        <w:t>减少</w:t>
      </w:r>
      <w:r>
        <w:rPr>
          <w:rFonts w:hint="eastAsia" w:ascii="仿宋" w:hAnsi="仿宋" w:eastAsia="仿宋" w:cs="仿宋_GB2312"/>
          <w:bCs/>
          <w:color w:val="333333"/>
          <w:sz w:val="32"/>
          <w:szCs w:val="32"/>
          <w:shd w:val="clear" w:color="auto" w:fill="FFFFFF"/>
          <w:lang w:val="en-US" w:eastAsia="zh-CN"/>
        </w:rPr>
        <w:t>45</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hint="eastAsia" w:ascii="仿宋" w:hAnsi="仿宋" w:eastAsia="仿宋" w:cs="Times New Roman"/>
          <w:b/>
          <w:bCs/>
          <w:kern w:val="2"/>
          <w:sz w:val="32"/>
          <w:szCs w:val="32"/>
          <w:lang w:val="en-US" w:eastAsia="zh-CN" w:bidi="ar-SA"/>
        </w:rPr>
      </w:pPr>
      <w:r>
        <w:rPr>
          <w:rFonts w:hint="eastAsia" w:ascii="仿宋" w:hAnsi="仿宋" w:eastAsia="仿宋" w:cs="仿宋"/>
          <w:i w:val="0"/>
          <w:iCs w:val="0"/>
          <w:caps w:val="0"/>
          <w:color w:val="333333"/>
          <w:spacing w:val="0"/>
          <w:sz w:val="32"/>
          <w:szCs w:val="32"/>
        </w:rPr>
        <w:t>本年度本部门的项目支出合计数为</w:t>
      </w:r>
      <w:r>
        <w:rPr>
          <w:rFonts w:hint="eastAsia" w:ascii="仿宋" w:hAnsi="仿宋" w:eastAsia="仿宋" w:cs="仿宋"/>
          <w:i w:val="0"/>
          <w:iCs w:val="0"/>
          <w:caps w:val="0"/>
          <w:color w:val="333333"/>
          <w:spacing w:val="0"/>
          <w:sz w:val="32"/>
          <w:szCs w:val="32"/>
          <w:lang w:val="en-US" w:eastAsia="zh-CN"/>
        </w:rPr>
        <w:t>253.44</w:t>
      </w:r>
      <w:r>
        <w:rPr>
          <w:rFonts w:hint="eastAsia" w:ascii="仿宋" w:hAnsi="仿宋" w:eastAsia="仿宋" w:cs="仿宋"/>
          <w:i w:val="0"/>
          <w:iCs w:val="0"/>
          <w:caps w:val="0"/>
          <w:color w:val="333333"/>
          <w:spacing w:val="0"/>
          <w:sz w:val="32"/>
          <w:szCs w:val="32"/>
        </w:rPr>
        <w:t>万元，主要用于信息网络及软件购置更新。项目资金的使用严格按照程序和执行规定。</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lang w:val="en-US" w:eastAsia="zh-CN"/>
        </w:rPr>
        <w:t>2020</w:t>
      </w:r>
      <w:r>
        <w:rPr>
          <w:rFonts w:hint="eastAsia" w:ascii="仿宋" w:hAnsi="仿宋" w:eastAsia="仿宋" w:cs="仿宋"/>
          <w:i w:val="0"/>
          <w:iCs w:val="0"/>
          <w:caps w:val="0"/>
          <w:color w:val="333333"/>
          <w:spacing w:val="0"/>
          <w:sz w:val="32"/>
          <w:szCs w:val="32"/>
        </w:rPr>
        <w:t>年我校所有财政性资金、专项资金都纳入绩效管理的范围。我校各项开支严格执行预算，控制成本，开源节流，每一分钱的使用都有它的经济性、效率性、有效性和可持续性，促进学校教育教学各项活动的开动，提升质量，学生学习生活的环境得到极大的改善，教师的生活环境也得到了相应改善。对各项资金均进行制度化管理，按规划组织实施，保证了各项资金使用的真实、合法、有效，提高了资金的使用率。保证单位的高效运转；确保各项决策部署得到有效落实产生了良好的社会效应，也取得了发展的可持续性、长效性。</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outlineLvl w:val="1"/>
        <w:rPr>
          <w:rFonts w:hint="eastAsia" w:ascii="仿宋" w:hAnsi="仿宋" w:eastAsia="仿宋" w:cs="仿宋"/>
          <w:color w:val="333333"/>
          <w:sz w:val="32"/>
          <w:szCs w:val="32"/>
          <w:shd w:val="clear" w:color="auto" w:fill="FFFFFF"/>
        </w:rPr>
      </w:pPr>
      <w:r>
        <w:rPr>
          <w:rFonts w:hint="eastAsia" w:ascii="仿宋" w:hAnsi="仿宋" w:eastAsia="仿宋" w:cs="楷体"/>
          <w:b/>
          <w:bCs/>
          <w:sz w:val="32"/>
          <w:szCs w:val="32"/>
        </w:rPr>
        <w:t>（一）主要问题及原因分析</w:t>
      </w:r>
    </w:p>
    <w:p>
      <w:pPr>
        <w:numPr>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由于学校财务人员没有专职设置，对财务知识学习培训程度不够，导致对决算编制口径理解不足。在部门预算编制、部门决算编制软件操作中存在一些困难。  　  　　</w:t>
      </w:r>
    </w:p>
    <w:p>
      <w:pPr>
        <w:numPr>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标之间的差距。  　</w:t>
      </w:r>
    </w:p>
    <w:p>
      <w:pPr>
        <w:numPr>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、建议教育行政主管部门和财政部门应高度重视学校财务人员的专业技能培训，注重培训学校财务人员的实际操作能力，教育主管部门应定期组织财务培训，</w:t>
      </w:r>
      <w:bookmarkStart w:id="0" w:name="_GoBack"/>
      <w:bookmarkEnd w:id="0"/>
      <w:r>
        <w:rPr>
          <w:rFonts w:hint="eastAsia" w:ascii="仿宋" w:hAnsi="仿宋" w:eastAsia="仿宋" w:cs="仿宋"/>
          <w:color w:val="333333"/>
          <w:sz w:val="32"/>
          <w:szCs w:val="32"/>
          <w:shd w:val="clear" w:color="auto" w:fill="FFFFFF"/>
        </w:rPr>
        <w:t>提升学校财务人员的财务专业技能，使学校这批财务人员(报账员)，在没有配置专职人员时，虽然没有专业资质，但在实际操作中，确实能够熟练掌握操作技能，较好的完成学校的各项财务工作。</w:t>
      </w:r>
    </w:p>
    <w:p>
      <w:pPr>
        <w:numPr>
          <w:numId w:val="0"/>
        </w:numPr>
        <w:spacing w:line="4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i w:val="0"/>
          <w:iCs w:val="0"/>
          <w:caps w:val="0"/>
          <w:color w:val="333333"/>
          <w:spacing w:val="0"/>
          <w:sz w:val="32"/>
          <w:szCs w:val="32"/>
        </w:rPr>
        <w:t>学校地处偏远差旅开支大，学生人数少，学校公用经费紧张。</w:t>
      </w:r>
    </w:p>
    <w:p>
      <w:pPr>
        <w:spacing w:line="460" w:lineRule="exact"/>
        <w:ind w:firstLine="643" w:firstLineChars="200"/>
        <w:outlineLvl w:val="1"/>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hint="eastAsia" w:ascii="仿宋" w:hAnsi="仿宋" w:eastAsia="仿宋" w:cs="仿宋"/>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w:t>
      </w:r>
      <w:r>
        <w:rPr>
          <w:rFonts w:hint="eastAsia" w:ascii="仿宋" w:hAnsi="仿宋" w:eastAsia="仿宋" w:cs="仿宋_GB2312"/>
          <w:color w:val="333333"/>
          <w:sz w:val="32"/>
          <w:szCs w:val="32"/>
          <w:shd w:val="clear" w:color="auto" w:fill="FFFFFF"/>
          <w:lang w:eastAsia="zh-CN"/>
        </w:rPr>
        <w:t>校公用</w:t>
      </w:r>
      <w:r>
        <w:rPr>
          <w:rFonts w:hint="eastAsia" w:ascii="仿宋" w:hAnsi="仿宋" w:eastAsia="仿宋" w:cs="仿宋_GB2312"/>
          <w:color w:val="333333"/>
          <w:sz w:val="32"/>
          <w:szCs w:val="32"/>
          <w:shd w:val="clear" w:color="auto" w:fill="FFFFFF"/>
        </w:rPr>
        <w:t>经费，便于日常工作有序进行。</w:t>
      </w:r>
      <w:r>
        <w:rPr>
          <w:rFonts w:hint="eastAsia" w:ascii="仿宋" w:hAnsi="仿宋" w:eastAsia="仿宋" w:cs="仿宋"/>
          <w:i w:val="0"/>
          <w:iCs w:val="0"/>
          <w:caps w:val="0"/>
          <w:color w:val="333333"/>
          <w:spacing w:val="0"/>
          <w:sz w:val="32"/>
          <w:szCs w:val="32"/>
          <w:lang w:eastAsia="zh-CN"/>
        </w:rPr>
        <w:t>由于</w:t>
      </w:r>
      <w:r>
        <w:rPr>
          <w:rFonts w:hint="eastAsia" w:ascii="仿宋" w:hAnsi="仿宋" w:eastAsia="仿宋" w:cs="仿宋"/>
          <w:i w:val="0"/>
          <w:iCs w:val="0"/>
          <w:caps w:val="0"/>
          <w:color w:val="333333"/>
          <w:spacing w:val="0"/>
          <w:sz w:val="32"/>
          <w:szCs w:val="32"/>
        </w:rPr>
        <w:t>编制教师人数少，故而我校本年度聘请了多名临时代课老师，进而导致日常经费开支增加。加上现代化设备的使用率提高，致使水电费的支出成倍增长，以致经费预算不足，造成学校的经费使用不尽合理。</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3676C17"/>
    <w:rsid w:val="05B6135C"/>
    <w:rsid w:val="0B570713"/>
    <w:rsid w:val="0B9A3759"/>
    <w:rsid w:val="0D021A7D"/>
    <w:rsid w:val="0FAF02A7"/>
    <w:rsid w:val="1528395E"/>
    <w:rsid w:val="180271E1"/>
    <w:rsid w:val="1EB350B6"/>
    <w:rsid w:val="216C3EB0"/>
    <w:rsid w:val="2234389F"/>
    <w:rsid w:val="25B12B77"/>
    <w:rsid w:val="283778F7"/>
    <w:rsid w:val="2BAD0684"/>
    <w:rsid w:val="2C735699"/>
    <w:rsid w:val="2DD547AF"/>
    <w:rsid w:val="33AB6E58"/>
    <w:rsid w:val="37465815"/>
    <w:rsid w:val="383545BB"/>
    <w:rsid w:val="41187497"/>
    <w:rsid w:val="465A3DA9"/>
    <w:rsid w:val="46BC33FE"/>
    <w:rsid w:val="47FE7C97"/>
    <w:rsid w:val="5757095D"/>
    <w:rsid w:val="58633034"/>
    <w:rsid w:val="58D973DD"/>
    <w:rsid w:val="5E495699"/>
    <w:rsid w:val="5EFC6636"/>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2755</Words>
  <Characters>2894</Characters>
  <Lines>22</Lines>
  <Paragraphs>6</Paragraphs>
  <TotalTime>2</TotalTime>
  <ScaleCrop>false</ScaleCrop>
  <LinksUpToDate>false</LinksUpToDate>
  <CharactersWithSpaces>2960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WPS_1538212517</cp:lastModifiedBy>
  <cp:lastPrinted>2017-06-28T08:06:00Z</cp:lastPrinted>
  <dcterms:modified xsi:type="dcterms:W3CDTF">2022-04-06T13:44:46Z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