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南迳中学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南迳中学</w:t>
      </w:r>
      <w:r>
        <w:rPr>
          <w:rFonts w:hint="eastAsia" w:ascii="仿宋" w:hAnsi="仿宋" w:eastAsia="仿宋"/>
          <w:color w:val="000000"/>
          <w:sz w:val="30"/>
          <w:szCs w:val="30"/>
        </w:rPr>
        <w:t>下设</w:t>
      </w:r>
      <w:r>
        <w:rPr>
          <w:rFonts w:hint="eastAsia" w:ascii="仿宋" w:hAnsi="仿宋" w:eastAsia="仿宋" w:cs="Times New Roman"/>
          <w:sz w:val="30"/>
          <w:szCs w:val="30"/>
        </w:rPr>
        <w:t>办公室、教</w:t>
      </w:r>
      <w:r>
        <w:rPr>
          <w:rFonts w:hint="eastAsia" w:ascii="仿宋" w:hAnsi="仿宋" w:eastAsia="仿宋" w:cs="Times New Roman"/>
          <w:sz w:val="30"/>
          <w:szCs w:val="30"/>
          <w:lang w:eastAsia="zh-CN"/>
        </w:rPr>
        <w:t>务</w:t>
      </w:r>
      <w:r>
        <w:rPr>
          <w:rFonts w:hint="eastAsia" w:ascii="仿宋" w:hAnsi="仿宋" w:eastAsia="仿宋" w:cs="Times New Roman"/>
          <w:sz w:val="30"/>
          <w:szCs w:val="30"/>
        </w:rPr>
        <w:t>处、总务处、</w:t>
      </w:r>
      <w:r>
        <w:rPr>
          <w:rFonts w:hint="eastAsia" w:ascii="仿宋" w:hAnsi="仿宋" w:eastAsia="仿宋" w:cs="Times New Roman"/>
          <w:sz w:val="30"/>
          <w:szCs w:val="30"/>
          <w:lang w:eastAsia="zh-CN"/>
        </w:rPr>
        <w:t>德育</w:t>
      </w:r>
      <w:r>
        <w:rPr>
          <w:rFonts w:hint="eastAsia" w:ascii="仿宋" w:hAnsi="仿宋" w:eastAsia="仿宋" w:cs="Times New Roman"/>
          <w:sz w:val="30"/>
          <w:szCs w:val="30"/>
        </w:rPr>
        <w:t>处、</w:t>
      </w:r>
      <w:r>
        <w:rPr>
          <w:rFonts w:hint="eastAsia" w:ascii="仿宋" w:hAnsi="仿宋" w:eastAsia="仿宋" w:cs="Times New Roman"/>
          <w:sz w:val="30"/>
          <w:szCs w:val="30"/>
          <w:lang w:eastAsia="zh-CN"/>
        </w:rPr>
        <w:t>学科处、工会办公室</w:t>
      </w:r>
      <w:r>
        <w:rPr>
          <w:rFonts w:hint="eastAsia" w:ascii="仿宋" w:hAnsi="仿宋" w:eastAsia="仿宋"/>
          <w:color w:val="000000"/>
          <w:sz w:val="30"/>
          <w:szCs w:val="30"/>
        </w:rPr>
        <w:t>等处室及</w:t>
      </w:r>
      <w:r>
        <w:rPr>
          <w:rFonts w:hint="eastAsia" w:ascii="仿宋" w:hAnsi="仿宋" w:eastAsia="仿宋"/>
          <w:color w:val="000000"/>
          <w:sz w:val="30"/>
          <w:szCs w:val="30"/>
          <w:lang w:eastAsia="zh-CN"/>
        </w:rPr>
        <w:t>初中七</w:t>
      </w:r>
      <w:r>
        <w:rPr>
          <w:rFonts w:hint="eastAsia" w:ascii="仿宋" w:hAnsi="仿宋" w:eastAsia="仿宋"/>
          <w:color w:val="000000"/>
          <w:sz w:val="30"/>
          <w:szCs w:val="30"/>
        </w:rPr>
        <w:t>年级有</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个班、</w:t>
      </w:r>
      <w:r>
        <w:rPr>
          <w:rFonts w:hint="eastAsia" w:ascii="仿宋" w:hAnsi="仿宋" w:eastAsia="仿宋"/>
          <w:color w:val="000000"/>
          <w:sz w:val="30"/>
          <w:szCs w:val="30"/>
          <w:lang w:eastAsia="zh-CN"/>
        </w:rPr>
        <w:t>八</w:t>
      </w:r>
      <w:r>
        <w:rPr>
          <w:rFonts w:hint="eastAsia" w:ascii="仿宋" w:hAnsi="仿宋" w:eastAsia="仿宋"/>
          <w:color w:val="000000"/>
          <w:sz w:val="30"/>
          <w:szCs w:val="30"/>
        </w:rPr>
        <w:t>年级有</w:t>
      </w:r>
      <w:r>
        <w:rPr>
          <w:rFonts w:hint="eastAsia" w:ascii="仿宋" w:hAnsi="仿宋" w:eastAsia="仿宋"/>
          <w:color w:val="000000"/>
          <w:sz w:val="30"/>
          <w:szCs w:val="30"/>
          <w:lang w:val="en-US" w:eastAsia="zh-CN"/>
        </w:rPr>
        <w:t>6</w:t>
      </w:r>
      <w:r>
        <w:rPr>
          <w:rFonts w:hint="eastAsia" w:ascii="仿宋" w:hAnsi="仿宋" w:eastAsia="仿宋"/>
          <w:color w:val="000000"/>
          <w:sz w:val="30"/>
          <w:szCs w:val="30"/>
        </w:rPr>
        <w:t>个班、</w:t>
      </w:r>
      <w:r>
        <w:rPr>
          <w:rFonts w:hint="eastAsia" w:ascii="仿宋" w:hAnsi="仿宋" w:eastAsia="仿宋"/>
          <w:color w:val="000000"/>
          <w:sz w:val="30"/>
          <w:szCs w:val="30"/>
          <w:lang w:eastAsia="zh-CN"/>
        </w:rPr>
        <w:t>九</w:t>
      </w:r>
      <w:r>
        <w:rPr>
          <w:rFonts w:hint="eastAsia" w:ascii="仿宋" w:hAnsi="仿宋" w:eastAsia="仿宋"/>
          <w:color w:val="000000"/>
          <w:sz w:val="30"/>
          <w:szCs w:val="30"/>
        </w:rPr>
        <w:t>年级有</w:t>
      </w:r>
      <w:r>
        <w:rPr>
          <w:rFonts w:hint="eastAsia" w:ascii="仿宋" w:hAnsi="仿宋" w:eastAsia="仿宋"/>
          <w:color w:val="000000"/>
          <w:sz w:val="30"/>
          <w:szCs w:val="30"/>
          <w:lang w:val="en-US" w:eastAsia="zh-CN"/>
        </w:rPr>
        <w:t>8</w:t>
      </w:r>
      <w:r>
        <w:rPr>
          <w:rFonts w:hint="eastAsia" w:ascii="仿宋" w:hAnsi="仿宋" w:eastAsia="仿宋"/>
          <w:color w:val="000000"/>
          <w:sz w:val="30"/>
          <w:szCs w:val="30"/>
        </w:rPr>
        <w:t>个班</w:t>
      </w:r>
      <w:r>
        <w:rPr>
          <w:rFonts w:hint="eastAsia" w:ascii="仿宋" w:hAnsi="仿宋" w:eastAsia="仿宋"/>
          <w:color w:val="000000"/>
          <w:sz w:val="30"/>
          <w:szCs w:val="30"/>
          <w:lang w:eastAsia="zh-CN"/>
        </w:rPr>
        <w:t>，</w:t>
      </w:r>
      <w:r>
        <w:rPr>
          <w:rFonts w:hint="eastAsia" w:ascii="仿宋" w:hAnsi="仿宋" w:eastAsia="仿宋"/>
          <w:color w:val="000000"/>
          <w:sz w:val="30"/>
          <w:szCs w:val="30"/>
        </w:rPr>
        <w:t>共</w:t>
      </w:r>
      <w:r>
        <w:rPr>
          <w:rFonts w:hint="eastAsia" w:ascii="仿宋" w:hAnsi="仿宋" w:eastAsia="仿宋"/>
          <w:color w:val="000000"/>
          <w:sz w:val="30"/>
          <w:szCs w:val="30"/>
          <w:lang w:val="en-US" w:eastAsia="zh-CN"/>
        </w:rPr>
        <w:t>18</w:t>
      </w:r>
      <w:r>
        <w:rPr>
          <w:rFonts w:hint="eastAsia" w:ascii="仿宋" w:hAnsi="仿宋" w:eastAsia="仿宋"/>
          <w:color w:val="000000"/>
          <w:sz w:val="30"/>
          <w:szCs w:val="30"/>
        </w:rPr>
        <w:t>个教学班。</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全南县</w:t>
      </w:r>
      <w:r>
        <w:rPr>
          <w:rFonts w:hint="eastAsia" w:ascii="仿宋" w:hAnsi="仿宋" w:eastAsia="仿宋" w:cs="Times New Roman"/>
          <w:sz w:val="30"/>
          <w:szCs w:val="30"/>
          <w:lang w:eastAsia="zh-CN"/>
        </w:rPr>
        <w:t>南迳中学</w:t>
      </w:r>
      <w:r>
        <w:rPr>
          <w:rFonts w:hint="eastAsia" w:ascii="仿宋" w:hAnsi="仿宋" w:eastAsia="仿宋" w:cs="Times New Roman"/>
          <w:sz w:val="30"/>
          <w:szCs w:val="30"/>
        </w:rPr>
        <w:t>编制人数</w:t>
      </w:r>
      <w:r>
        <w:rPr>
          <w:rFonts w:hint="eastAsia" w:ascii="仿宋" w:hAnsi="仿宋" w:eastAsia="仿宋" w:cs="Times New Roman"/>
          <w:sz w:val="30"/>
          <w:szCs w:val="30"/>
          <w:lang w:val="en-US" w:eastAsia="zh-CN"/>
        </w:rPr>
        <w:t>51</w:t>
      </w:r>
      <w:r>
        <w:rPr>
          <w:rFonts w:hint="eastAsia" w:ascii="仿宋" w:hAnsi="仿宋" w:eastAsia="仿宋" w:cs="Times New Roman"/>
          <w:sz w:val="30"/>
          <w:szCs w:val="30"/>
        </w:rPr>
        <w:t>人,其中：行政编制0 人、全额补助事业编制</w:t>
      </w:r>
      <w:r>
        <w:rPr>
          <w:rFonts w:hint="eastAsia" w:ascii="仿宋" w:hAnsi="仿宋" w:eastAsia="仿宋" w:cs="Times New Roman"/>
          <w:sz w:val="30"/>
          <w:szCs w:val="30"/>
          <w:lang w:val="en-US" w:eastAsia="zh-CN"/>
        </w:rPr>
        <w:t>51</w:t>
      </w:r>
      <w:r>
        <w:rPr>
          <w:rFonts w:hint="eastAsia" w:ascii="仿宋" w:hAnsi="仿宋" w:eastAsia="仿宋" w:cs="Times New Roman"/>
          <w:sz w:val="30"/>
          <w:szCs w:val="30"/>
        </w:rPr>
        <w:t>人；实有人数</w:t>
      </w:r>
      <w:r>
        <w:rPr>
          <w:rFonts w:hint="eastAsia" w:ascii="仿宋" w:hAnsi="仿宋" w:eastAsia="仿宋" w:cs="Times New Roman"/>
          <w:sz w:val="30"/>
          <w:szCs w:val="30"/>
          <w:lang w:val="en-US" w:eastAsia="zh-CN"/>
        </w:rPr>
        <w:t>59</w:t>
      </w:r>
      <w:r>
        <w:rPr>
          <w:rFonts w:hint="eastAsia" w:ascii="仿宋" w:hAnsi="仿宋" w:eastAsia="仿宋" w:cs="Times New Roman"/>
          <w:sz w:val="30"/>
          <w:szCs w:val="30"/>
        </w:rPr>
        <w:t>人，在职人数</w:t>
      </w:r>
      <w:r>
        <w:rPr>
          <w:rFonts w:hint="eastAsia" w:ascii="仿宋" w:hAnsi="仿宋" w:eastAsia="仿宋" w:cs="Times New Roman"/>
          <w:sz w:val="30"/>
          <w:szCs w:val="30"/>
          <w:lang w:val="en-US" w:eastAsia="zh-CN"/>
        </w:rPr>
        <w:t>59</w:t>
      </w:r>
      <w:r>
        <w:rPr>
          <w:rFonts w:hint="eastAsia" w:ascii="仿宋" w:hAnsi="仿宋" w:eastAsia="仿宋" w:cs="Times New Roman"/>
          <w:sz w:val="30"/>
          <w:szCs w:val="30"/>
        </w:rPr>
        <w:t>人（包括行政人员0人、全额补助事业人员</w:t>
      </w:r>
      <w:r>
        <w:rPr>
          <w:rFonts w:hint="eastAsia" w:ascii="仿宋" w:hAnsi="仿宋" w:eastAsia="仿宋" w:cs="Times New Roman"/>
          <w:sz w:val="30"/>
          <w:szCs w:val="30"/>
          <w:lang w:val="en-US" w:eastAsia="zh-CN"/>
        </w:rPr>
        <w:t>59</w:t>
      </w:r>
      <w:r>
        <w:rPr>
          <w:rFonts w:hint="eastAsia" w:ascii="仿宋" w:hAnsi="仿宋" w:eastAsia="仿宋" w:cs="Times New Roman"/>
          <w:sz w:val="30"/>
          <w:szCs w:val="30"/>
        </w:rPr>
        <w:t>人）；退休人员</w:t>
      </w:r>
      <w:r>
        <w:rPr>
          <w:rFonts w:hint="eastAsia" w:ascii="仿宋" w:hAnsi="仿宋" w:eastAsia="仿宋" w:cs="Times New Roman"/>
          <w:sz w:val="30"/>
          <w:szCs w:val="30"/>
          <w:lang w:val="en-US" w:eastAsia="zh-CN"/>
        </w:rPr>
        <w:t>16</w:t>
      </w:r>
      <w:r>
        <w:rPr>
          <w:rFonts w:hint="eastAsia" w:ascii="仿宋" w:hAnsi="仿宋" w:eastAsia="仿宋" w:cs="Times New Roman"/>
          <w:sz w:val="30"/>
          <w:szCs w:val="30"/>
        </w:rPr>
        <w:t>人，其中行政离退休人员0人，全额补助事业退休人数</w:t>
      </w:r>
      <w:r>
        <w:rPr>
          <w:rFonts w:hint="eastAsia" w:ascii="仿宋" w:hAnsi="仿宋" w:eastAsia="仿宋" w:cs="Times New Roman"/>
          <w:sz w:val="30"/>
          <w:szCs w:val="30"/>
          <w:lang w:val="en-US" w:eastAsia="zh-CN"/>
        </w:rPr>
        <w:t>16</w:t>
      </w:r>
      <w:r>
        <w:rPr>
          <w:rFonts w:hint="eastAsia" w:ascii="仿宋" w:hAnsi="仿宋" w:eastAsia="仿宋" w:cs="Times New Roman"/>
          <w:sz w:val="30"/>
          <w:szCs w:val="30"/>
        </w:rPr>
        <w:t>人。</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2.部门组织管理情况。</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1）日常管理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严格遵守作息制度，准时上、下班，不擅离职守，不做与工作无关的事；严格执行请销假制度，未办理请假手续而离岗按缺勤处理；严格执行挂点制度，挂点年级校级领导和中层干部对挂点年级工作的督查实行领导负责制；严格执行会议签到制度，全体教职工要准时参加学校组织的各项会议，遵守会议纪律，做到不迟到早退等。</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2）财务管理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根据单位实际情况，合理编制预决算，严格执行预算，无预算的不予报销；</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严格按照国家有关政策规定依法组织收入，各项收费严格执行国家规定的收费范围和标准，各项收入必须全部纳入预算，统一核算管理，实行“收支”两条线，不得坐收坐支，不得截留、挪用。</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各项支出应当严格执行国家有关财务规章制度规定的开支范围及标准，各项支出费用合法合理，厉行节约，确保专款专用。严格支出审批程序，在资金使用审批上按照先审核后签字的原则，学校报账由财务人员先行审核票据，合规票据交由分管领导审批，不合规票据退回各处室，报账统一到县教科体局财务核算中心进行票据审核和资金支付。</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3）专项资金管理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在专项资金的使用上，根据专项工作不同要求，合理分配专项资金使用，坚持专项资金使用的公开、透明。严格执行专款专用，不得随意更改资金用途，将资金挪作他用。</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4）资产管理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 xml:space="preserve">    固定资产指定专人管理，登记造册，建好卡片，形成电子档案。每年要定期进行固定资产清查，保证固定资产账实相符。对于固定资产的报废处理，要严格按照固定资产报废程序进行处理，残值收入要依据收入管理办法纳入预算，统一核算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5）档案管理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人事档案由局机关档案室统一进行保管和管理，学校会计档案每年年底由局财务核算中心移交给学校总务处进行保管。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1.总体目标</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贯彻执行党和国家的教育科技体育工作的方针、政策、法律和有关教育行政法规。负责组织落实全县教育科技体育各项工作。</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2.工作任务</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在县委、县政府的正确领导及县教育科技体育局主管部门大力支持下，我校团结带领全体教职工，按照“重塑教育新形象的目标，突出义务教育均衡发展的重点，提升教学教研及学校管理水平，推进校建工程、师资队伍、平安校园三项建设”的思路，锐意进取，扎实工作，各项工作取得了一定成效。</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切实加强校园安全宣传教育。一是加强安全教育，通过主题班会、国旗下讲话、板报宣传等形式着力加强防溺水、道路交通、食品卫生等宣传教育，增强广大师生的安全意识。二是积极开展应急演练，上好安全教育“第一课”，积极组织开展应急疏散等安全演练活动，进一步提升师生应急防范及处置能力。三是加强校园巡查，强化门卫管理，严格落实值班责任制，确保校园安全。四是加强信访维稳，贯彻落实“1+3”维稳责任制，切实加强重点信访人员思想疏导工作，防范越级上访行为的发生。通过全校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目标1：开展教育教学改革，着力提升学校日常管理水平，通过完善绩效考核、综合考评、教育教学奖励办法等制度和方案，加强管理。</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目标2：利用好师资培训经费，对接“国培计划”，通过开展各项教师培训活动，加强教师队伍建设。</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目标3：以德治校"三注重"：注重班子团结协作与队伍建设；注重师德教风训练考核；注重学生育人活动组织，重点抓养成、抓习惯、抓细节、抓过程。</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目标4：制定安全制度、计划并总结归档；健全学校安全工作组织机构。落实安全法规文件，开展安全、法制宣传教育活动；设定学校应急预案及进行演练，每期1次消防安全和紧急疏散演习；定期对安全设施进行检查，达到安全工作零事故的目标。</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目标5：学校账务公开：按上级要求规范收费；严格按照财政局要求使用公用经费；固定资产专人管理登记，账目规范。</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2020年初县财政局批复我单位部门预算支出</w:t>
      </w:r>
      <w:r>
        <w:rPr>
          <w:rFonts w:hint="eastAsia" w:ascii="仿宋" w:hAnsi="仿宋" w:eastAsia="仿宋" w:cs="Times New Roman"/>
          <w:sz w:val="30"/>
          <w:szCs w:val="30"/>
          <w:lang w:val="en-US" w:eastAsia="zh-CN"/>
        </w:rPr>
        <w:t>861.44</w:t>
      </w:r>
      <w:r>
        <w:rPr>
          <w:rFonts w:hint="eastAsia" w:ascii="仿宋" w:hAnsi="仿宋" w:eastAsia="仿宋" w:cs="Times New Roman"/>
          <w:sz w:val="30"/>
          <w:szCs w:val="30"/>
        </w:rPr>
        <w:t>万元，。当年实际完成收入</w:t>
      </w:r>
      <w:r>
        <w:rPr>
          <w:rFonts w:hint="eastAsia" w:ascii="仿宋" w:hAnsi="仿宋" w:eastAsia="仿宋" w:cs="Times New Roman"/>
          <w:sz w:val="30"/>
          <w:szCs w:val="30"/>
          <w:lang w:val="en-US" w:eastAsia="zh-CN"/>
        </w:rPr>
        <w:t>852.72</w:t>
      </w:r>
      <w:r>
        <w:rPr>
          <w:rFonts w:hint="eastAsia" w:ascii="仿宋" w:hAnsi="仿宋" w:eastAsia="仿宋" w:cs="Times New Roman"/>
          <w:sz w:val="30"/>
          <w:szCs w:val="30"/>
        </w:rPr>
        <w:t>万元（不含上年结转</w:t>
      </w:r>
      <w:r>
        <w:rPr>
          <w:rFonts w:hint="eastAsia" w:ascii="仿宋" w:hAnsi="仿宋" w:eastAsia="仿宋" w:cs="Times New Roman"/>
          <w:sz w:val="30"/>
          <w:szCs w:val="30"/>
          <w:lang w:val="en-US" w:eastAsia="zh-CN"/>
        </w:rPr>
        <w:t>8.72</w:t>
      </w:r>
      <w:r>
        <w:rPr>
          <w:rFonts w:hint="eastAsia" w:ascii="仿宋" w:hAnsi="仿宋" w:eastAsia="仿宋" w:cs="Times New Roman"/>
          <w:sz w:val="30"/>
          <w:szCs w:val="30"/>
        </w:rPr>
        <w:t>万元）；完成支出</w:t>
      </w:r>
      <w:r>
        <w:rPr>
          <w:rFonts w:hint="eastAsia" w:ascii="仿宋" w:hAnsi="仿宋" w:eastAsia="仿宋" w:cs="Times New Roman"/>
          <w:sz w:val="30"/>
          <w:szCs w:val="30"/>
          <w:lang w:val="en-US" w:eastAsia="zh-CN"/>
        </w:rPr>
        <w:t>853.44</w:t>
      </w:r>
      <w:r>
        <w:rPr>
          <w:rFonts w:hint="eastAsia" w:ascii="仿宋" w:hAnsi="仿宋" w:eastAsia="仿宋" w:cs="Times New Roman"/>
          <w:sz w:val="30"/>
          <w:szCs w:val="30"/>
        </w:rPr>
        <w:t>万元，其中工资福利支出</w:t>
      </w:r>
      <w:r>
        <w:rPr>
          <w:rFonts w:hint="eastAsia" w:ascii="仿宋" w:hAnsi="仿宋" w:eastAsia="仿宋" w:cs="Times New Roman"/>
          <w:sz w:val="30"/>
          <w:szCs w:val="30"/>
          <w:lang w:val="en-US" w:eastAsia="zh-CN"/>
        </w:rPr>
        <w:t>580.92</w:t>
      </w:r>
      <w:r>
        <w:rPr>
          <w:rFonts w:hint="eastAsia" w:ascii="仿宋" w:hAnsi="仿宋" w:eastAsia="仿宋" w:cs="Times New Roman"/>
          <w:sz w:val="30"/>
          <w:szCs w:val="30"/>
        </w:rPr>
        <w:t>万元、商品和服务支出</w:t>
      </w:r>
      <w:r>
        <w:rPr>
          <w:rFonts w:hint="eastAsia" w:ascii="仿宋" w:hAnsi="仿宋" w:eastAsia="仿宋" w:cs="Times New Roman"/>
          <w:sz w:val="30"/>
          <w:szCs w:val="30"/>
          <w:lang w:val="en-US" w:eastAsia="zh-CN"/>
        </w:rPr>
        <w:t>49.14</w:t>
      </w:r>
      <w:r>
        <w:rPr>
          <w:rFonts w:hint="eastAsia" w:ascii="仿宋" w:hAnsi="仿宋" w:eastAsia="仿宋" w:cs="Times New Roman"/>
          <w:sz w:val="30"/>
          <w:szCs w:val="30"/>
        </w:rPr>
        <w:t>万元、对个人和家庭的补助支出</w:t>
      </w:r>
      <w:r>
        <w:rPr>
          <w:rFonts w:hint="eastAsia" w:ascii="仿宋" w:hAnsi="仿宋" w:eastAsia="仿宋" w:cs="Times New Roman"/>
          <w:sz w:val="30"/>
          <w:szCs w:val="30"/>
          <w:lang w:val="en-US" w:eastAsia="zh-CN"/>
        </w:rPr>
        <w:t>47.99</w:t>
      </w:r>
      <w:r>
        <w:rPr>
          <w:rFonts w:hint="eastAsia" w:ascii="仿宋" w:hAnsi="仿宋" w:eastAsia="仿宋" w:cs="Times New Roman"/>
          <w:sz w:val="30"/>
          <w:szCs w:val="30"/>
        </w:rPr>
        <w:t>万元、其他资本性支出</w:t>
      </w:r>
      <w:r>
        <w:rPr>
          <w:rFonts w:hint="eastAsia" w:ascii="仿宋" w:hAnsi="仿宋" w:eastAsia="仿宋" w:cs="Times New Roman"/>
          <w:sz w:val="30"/>
          <w:szCs w:val="30"/>
          <w:lang w:val="en-US" w:eastAsia="zh-CN"/>
        </w:rPr>
        <w:t>175.4</w:t>
      </w:r>
      <w:r>
        <w:rPr>
          <w:rFonts w:hint="eastAsia" w:ascii="仿宋" w:hAnsi="仿宋" w:eastAsia="仿宋" w:cs="Times New Roman"/>
          <w:sz w:val="30"/>
          <w:szCs w:val="30"/>
        </w:rPr>
        <w:t>万元；年底结余</w:t>
      </w:r>
      <w:r>
        <w:rPr>
          <w:rFonts w:hint="eastAsia" w:ascii="仿宋" w:hAnsi="仿宋" w:eastAsia="仿宋" w:cs="Times New Roman"/>
          <w:sz w:val="30"/>
          <w:szCs w:val="30"/>
          <w:lang w:val="en-US" w:eastAsia="zh-CN"/>
        </w:rPr>
        <w:t>0.72</w:t>
      </w:r>
      <w:r>
        <w:rPr>
          <w:rFonts w:hint="eastAsia" w:ascii="仿宋" w:hAnsi="仿宋" w:eastAsia="仿宋" w:cs="Times New Roman"/>
          <w:sz w:val="30"/>
          <w:szCs w:val="30"/>
        </w:rPr>
        <w:t>万元，其中基本支出结余</w:t>
      </w:r>
      <w:r>
        <w:rPr>
          <w:rFonts w:hint="eastAsia" w:ascii="仿宋" w:hAnsi="仿宋" w:eastAsia="仿宋" w:cs="Times New Roman"/>
          <w:sz w:val="30"/>
          <w:szCs w:val="30"/>
          <w:lang w:val="en-US" w:eastAsia="zh-CN"/>
        </w:rPr>
        <w:t>8</w:t>
      </w:r>
      <w:r>
        <w:rPr>
          <w:rFonts w:hint="eastAsia" w:ascii="仿宋" w:hAnsi="仿宋" w:eastAsia="仿宋" w:cs="Times New Roman"/>
          <w:sz w:val="30"/>
          <w:szCs w:val="30"/>
        </w:rPr>
        <w:t>万元、项目结余0万元。部门预算支出与决算的差异总额为0万元，差异的具体情况及原因见下表：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全南</w:t>
            </w:r>
            <w:r>
              <w:rPr>
                <w:rFonts w:hint="eastAsia" w:ascii="仿宋" w:hAnsi="仿宋" w:eastAsia="仿宋" w:cs="宋体"/>
                <w:b/>
                <w:bCs/>
                <w:kern w:val="0"/>
                <w:sz w:val="32"/>
                <w:szCs w:val="32"/>
                <w:lang w:eastAsia="zh-CN"/>
              </w:rPr>
              <w:t>县南迳中学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852.72</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636.9</w:t>
            </w:r>
          </w:p>
        </w:tc>
        <w:tc>
          <w:tcPr>
            <w:tcW w:w="1500" w:type="dxa"/>
            <w:tcBorders>
              <w:top w:val="nil"/>
              <w:left w:val="nil"/>
              <w:bottom w:val="single" w:color="auto" w:sz="4" w:space="0"/>
              <w:right w:val="single" w:color="auto" w:sz="4" w:space="0"/>
            </w:tcBorders>
            <w:vAlign w:val="bottom"/>
          </w:tcPr>
          <w:p>
            <w:pPr>
              <w:widowControl/>
              <w:spacing w:line="460" w:lineRule="exact"/>
              <w:jc w:val="both"/>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224.54</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853.44</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628.9</w:t>
            </w:r>
          </w:p>
        </w:tc>
        <w:tc>
          <w:tcPr>
            <w:tcW w:w="1500" w:type="dxa"/>
            <w:tcBorders>
              <w:top w:val="nil"/>
              <w:left w:val="nil"/>
              <w:bottom w:val="single" w:color="auto" w:sz="4" w:space="0"/>
              <w:right w:val="single" w:color="auto" w:sz="4" w:space="0"/>
            </w:tcBorders>
            <w:vAlign w:val="bottom"/>
          </w:tcPr>
          <w:p>
            <w:pPr>
              <w:widowControl/>
              <w:spacing w:line="460" w:lineRule="exact"/>
              <w:jc w:val="both"/>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224.54</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0.72</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0.72</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hint="eastAsia" w:ascii="仿宋" w:hAnsi="仿宋" w:eastAsia="仿宋" w:cs="仿宋"/>
                <w:kern w:val="0"/>
                <w:sz w:val="24"/>
                <w:lang w:eastAsia="zh-CN"/>
              </w:rPr>
            </w:pPr>
            <w:r>
              <w:rPr>
                <w:rFonts w:hint="eastAsia" w:ascii="仿宋" w:hAnsi="仿宋" w:eastAsia="仿宋" w:cs="仿宋"/>
                <w:kern w:val="0"/>
                <w:sz w:val="24"/>
              </w:rPr>
              <w:t>差异原因主要是：</w:t>
            </w:r>
            <w:r>
              <w:rPr>
                <w:rFonts w:hint="eastAsia" w:ascii="仿宋" w:hAnsi="仿宋" w:eastAsia="仿宋" w:cs="仿宋"/>
                <w:kern w:val="0"/>
                <w:sz w:val="24"/>
                <w:lang w:eastAsia="zh-CN"/>
              </w:rPr>
              <w:t>人员变动</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基本支出主要用于学校的人员经费和日常管理开支，资金使用规范，注重绩效，在资金管理上实行“收支”两条线，最大限度地提高资金的使用效益。全年“三公”经费合计</w:t>
      </w:r>
      <w:r>
        <w:rPr>
          <w:rFonts w:hint="eastAsia" w:ascii="仿宋" w:hAnsi="仿宋" w:eastAsia="仿宋" w:cs="Times New Roman"/>
          <w:sz w:val="30"/>
          <w:szCs w:val="30"/>
          <w:lang w:val="en-US" w:eastAsia="zh-CN"/>
        </w:rPr>
        <w:t>0.55</w:t>
      </w:r>
      <w:r>
        <w:rPr>
          <w:rFonts w:hint="eastAsia" w:ascii="仿宋" w:hAnsi="仿宋" w:eastAsia="仿宋" w:cs="Times New Roman"/>
          <w:sz w:val="30"/>
          <w:szCs w:val="30"/>
        </w:rPr>
        <w:t>万元，其中公务接待费0.13万元，与上年同比下降</w:t>
      </w:r>
      <w:r>
        <w:rPr>
          <w:rFonts w:hint="eastAsia" w:ascii="仿宋" w:hAnsi="仿宋" w:eastAsia="仿宋" w:cs="Times New Roman"/>
          <w:sz w:val="30"/>
          <w:szCs w:val="30"/>
          <w:lang w:val="en-US" w:eastAsia="zh-CN"/>
        </w:rPr>
        <w:t>19.12</w:t>
      </w:r>
      <w:r>
        <w:rPr>
          <w:rFonts w:hint="eastAsia" w:ascii="仿宋" w:hAnsi="仿宋" w:eastAsia="仿宋" w:cs="Times New Roman"/>
          <w:sz w:val="30"/>
          <w:szCs w:val="30"/>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财政下拨单位部分经费不及时，资金使用较为被动，不利于各项工作的开展，尤其是公用经费资金。</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建议县财政局及时下拨我单位经费，便于日常工作有序进行，更好地安排学校日常开支。</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评价得分96分，等级优。</w:t>
      </w:r>
      <w:bookmarkStart w:id="0" w:name="_GoBack"/>
      <w:bookmarkEnd w:id="0"/>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1187B"/>
    <w:rsid w:val="00033353"/>
    <w:rsid w:val="000A1B3C"/>
    <w:rsid w:val="000C011A"/>
    <w:rsid w:val="000C2108"/>
    <w:rsid w:val="000C24C0"/>
    <w:rsid w:val="000D155C"/>
    <w:rsid w:val="0012257A"/>
    <w:rsid w:val="00153A42"/>
    <w:rsid w:val="00164539"/>
    <w:rsid w:val="00173AFF"/>
    <w:rsid w:val="00192178"/>
    <w:rsid w:val="001A5D51"/>
    <w:rsid w:val="001B4BB9"/>
    <w:rsid w:val="001D043D"/>
    <w:rsid w:val="001E7BC6"/>
    <w:rsid w:val="001F0733"/>
    <w:rsid w:val="001F4E56"/>
    <w:rsid w:val="002157A2"/>
    <w:rsid w:val="00254F8C"/>
    <w:rsid w:val="00271149"/>
    <w:rsid w:val="0027500B"/>
    <w:rsid w:val="00291F9E"/>
    <w:rsid w:val="0030753D"/>
    <w:rsid w:val="00326BC3"/>
    <w:rsid w:val="003276B8"/>
    <w:rsid w:val="003873A8"/>
    <w:rsid w:val="00397AF0"/>
    <w:rsid w:val="003B43F5"/>
    <w:rsid w:val="003B61A4"/>
    <w:rsid w:val="003C7CE8"/>
    <w:rsid w:val="003E2DDF"/>
    <w:rsid w:val="003E5E99"/>
    <w:rsid w:val="003F3A8D"/>
    <w:rsid w:val="003F3BB0"/>
    <w:rsid w:val="00400547"/>
    <w:rsid w:val="004023D4"/>
    <w:rsid w:val="00413126"/>
    <w:rsid w:val="00423621"/>
    <w:rsid w:val="00432865"/>
    <w:rsid w:val="0044086F"/>
    <w:rsid w:val="00447343"/>
    <w:rsid w:val="00457CB2"/>
    <w:rsid w:val="00485F69"/>
    <w:rsid w:val="004D6428"/>
    <w:rsid w:val="005003E4"/>
    <w:rsid w:val="005321A9"/>
    <w:rsid w:val="005427C0"/>
    <w:rsid w:val="00544B53"/>
    <w:rsid w:val="00575063"/>
    <w:rsid w:val="00577CAD"/>
    <w:rsid w:val="005B4C9B"/>
    <w:rsid w:val="005C22E7"/>
    <w:rsid w:val="005C48B6"/>
    <w:rsid w:val="0060568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7532D"/>
    <w:rsid w:val="00890960"/>
    <w:rsid w:val="008A4120"/>
    <w:rsid w:val="008B5A5C"/>
    <w:rsid w:val="008C3618"/>
    <w:rsid w:val="008E59B1"/>
    <w:rsid w:val="008F5D33"/>
    <w:rsid w:val="00904FBA"/>
    <w:rsid w:val="0091357F"/>
    <w:rsid w:val="00952075"/>
    <w:rsid w:val="00957039"/>
    <w:rsid w:val="009C235C"/>
    <w:rsid w:val="009D6C0E"/>
    <w:rsid w:val="009F1600"/>
    <w:rsid w:val="009F61EA"/>
    <w:rsid w:val="00A318E0"/>
    <w:rsid w:val="00A34B0D"/>
    <w:rsid w:val="00A4544B"/>
    <w:rsid w:val="00A773D9"/>
    <w:rsid w:val="00A8467A"/>
    <w:rsid w:val="00AA0B9E"/>
    <w:rsid w:val="00AB2D19"/>
    <w:rsid w:val="00AB5AB7"/>
    <w:rsid w:val="00AC155E"/>
    <w:rsid w:val="00AC45EB"/>
    <w:rsid w:val="00AF68BD"/>
    <w:rsid w:val="00B13A63"/>
    <w:rsid w:val="00B1617D"/>
    <w:rsid w:val="00B25868"/>
    <w:rsid w:val="00B25EAE"/>
    <w:rsid w:val="00B274B6"/>
    <w:rsid w:val="00B72CDD"/>
    <w:rsid w:val="00B83BF7"/>
    <w:rsid w:val="00BB2456"/>
    <w:rsid w:val="00BB663F"/>
    <w:rsid w:val="00BE64C2"/>
    <w:rsid w:val="00C039FA"/>
    <w:rsid w:val="00C143CB"/>
    <w:rsid w:val="00C17A0F"/>
    <w:rsid w:val="00CD010D"/>
    <w:rsid w:val="00CF55D2"/>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268"/>
    <w:rsid w:val="00FA36E9"/>
    <w:rsid w:val="00FE486D"/>
    <w:rsid w:val="00FE7D90"/>
    <w:rsid w:val="05B6135C"/>
    <w:rsid w:val="0CA710DF"/>
    <w:rsid w:val="0D021A7D"/>
    <w:rsid w:val="0FAF02A7"/>
    <w:rsid w:val="180271E1"/>
    <w:rsid w:val="1E8745C9"/>
    <w:rsid w:val="21723653"/>
    <w:rsid w:val="2234389F"/>
    <w:rsid w:val="2C735699"/>
    <w:rsid w:val="383545BB"/>
    <w:rsid w:val="41187497"/>
    <w:rsid w:val="465A3DA9"/>
    <w:rsid w:val="471A6376"/>
    <w:rsid w:val="47FE7C97"/>
    <w:rsid w:val="4D075A3B"/>
    <w:rsid w:val="5148074E"/>
    <w:rsid w:val="58D973DD"/>
    <w:rsid w:val="5F610F1D"/>
    <w:rsid w:val="61C962D9"/>
    <w:rsid w:val="632F06C8"/>
    <w:rsid w:val="6626486F"/>
    <w:rsid w:val="69171AF5"/>
    <w:rsid w:val="6982158C"/>
    <w:rsid w:val="69B712CE"/>
    <w:rsid w:val="6B821078"/>
    <w:rsid w:val="6CFD166B"/>
    <w:rsid w:val="6E325870"/>
    <w:rsid w:val="704B59F2"/>
    <w:rsid w:val="71687ABE"/>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 w:type="paragraph" w:customStyle="1" w:styleId="12">
    <w:name w:val="ql-align-justify"/>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2459</Words>
  <Characters>2569</Characters>
  <Lines>19</Lines>
  <Paragraphs>5</Paragraphs>
  <TotalTime>4</TotalTime>
  <ScaleCrop>false</ScaleCrop>
  <LinksUpToDate>false</LinksUpToDate>
  <CharactersWithSpaces>2576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安于心       ﾟ</cp:lastModifiedBy>
  <cp:lastPrinted>2017-06-28T08:06:00Z</cp:lastPrinted>
  <dcterms:modified xsi:type="dcterms:W3CDTF">2022-04-07T03:40:25Z</dcterms:modified>
  <dc:title>附件3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0A3F3952C0D84DB3925ABD108AFA8444</vt:lpwstr>
  </property>
</Properties>
</file>