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F" w:rsidRDefault="00173AFF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全南县</w:t>
      </w:r>
      <w:r w:rsidR="00B1617D">
        <w:rPr>
          <w:rFonts w:ascii="方正小标宋简体" w:eastAsia="方正小标宋简体" w:hAnsi="仿宋" w:hint="eastAsia"/>
          <w:sz w:val="44"/>
          <w:szCs w:val="44"/>
        </w:rPr>
        <w:t>第三小学</w:t>
      </w:r>
      <w:r w:rsidR="00033353">
        <w:rPr>
          <w:rFonts w:ascii="方正小标宋简体" w:eastAsia="方正小标宋简体" w:hAnsi="仿宋" w:hint="eastAsia"/>
          <w:sz w:val="44"/>
          <w:szCs w:val="44"/>
        </w:rPr>
        <w:t>整体支出</w:t>
      </w:r>
    </w:p>
    <w:p w:rsidR="00033353" w:rsidRDefault="00033353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绩效自评报告</w:t>
      </w:r>
    </w:p>
    <w:p w:rsidR="00033353" w:rsidRDefault="00033353">
      <w:pPr>
        <w:spacing w:line="4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F61EA"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一、部门概况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（一）部门基本情况。</w:t>
      </w:r>
    </w:p>
    <w:p w:rsidR="009F61EA" w:rsidRPr="00424D09" w:rsidRDefault="00033353" w:rsidP="009F61EA">
      <w:pPr>
        <w:spacing w:line="420" w:lineRule="exact"/>
        <w:ind w:firstLine="63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1.</w:t>
      </w:r>
      <w:r w:rsidR="009F61EA" w:rsidRPr="00424D09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9F61EA" w:rsidRPr="00424D09">
        <w:rPr>
          <w:rFonts w:ascii="仿宋" w:eastAsia="仿宋" w:hAnsi="仿宋" w:hint="eastAsia"/>
          <w:sz w:val="32"/>
          <w:szCs w:val="32"/>
        </w:rPr>
        <w:t>部门组织机构及人员</w:t>
      </w:r>
    </w:p>
    <w:p w:rsidR="001A5D51" w:rsidRPr="00424D09" w:rsidRDefault="00B1617D" w:rsidP="001A5D51">
      <w:pPr>
        <w:spacing w:line="440" w:lineRule="exact"/>
        <w:ind w:firstLine="630"/>
        <w:jc w:val="left"/>
        <w:rPr>
          <w:rFonts w:ascii="仿宋" w:eastAsia="仿宋" w:hAnsi="仿宋"/>
          <w:color w:val="000000"/>
          <w:sz w:val="30"/>
          <w:szCs w:val="30"/>
        </w:rPr>
      </w:pPr>
      <w:r w:rsidRPr="00424D09">
        <w:rPr>
          <w:rFonts w:ascii="仿宋" w:eastAsia="仿宋" w:hAnsi="仿宋" w:hint="eastAsia"/>
          <w:color w:val="000000"/>
          <w:sz w:val="30"/>
          <w:szCs w:val="30"/>
        </w:rPr>
        <w:t>第三小学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下设党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建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办、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办公室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教导处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德育处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总务处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工会办公室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少先队办公室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、电教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处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处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室</w:t>
      </w:r>
      <w:r w:rsidRPr="00424D09">
        <w:rPr>
          <w:rFonts w:ascii="仿宋" w:eastAsia="仿宋" w:hAnsi="仿宋" w:hint="eastAsia"/>
          <w:color w:val="000000"/>
          <w:sz w:val="30"/>
          <w:szCs w:val="30"/>
        </w:rPr>
        <w:t>及小学一年级有10个班、二年级有8个班、三年级有9个班、四年级有8个班、五年级有9个班、六年级有</w:t>
      </w:r>
      <w:r w:rsidR="00A773D9" w:rsidRPr="00424D09">
        <w:rPr>
          <w:rFonts w:ascii="仿宋" w:eastAsia="仿宋" w:hAnsi="仿宋" w:hint="eastAsia"/>
          <w:color w:val="000000"/>
          <w:sz w:val="30"/>
          <w:szCs w:val="30"/>
        </w:rPr>
        <w:t>9个班共53个教学班</w:t>
      </w:r>
      <w:r w:rsidR="001A5D51" w:rsidRPr="00424D0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033353" w:rsidRPr="00424D09" w:rsidRDefault="001A5D51" w:rsidP="00424D09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全南县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第三小学</w:t>
      </w:r>
      <w:r w:rsidRPr="00424D09">
        <w:rPr>
          <w:rFonts w:ascii="仿宋" w:eastAsia="仿宋" w:hAnsi="仿宋" w:cs="仿宋_GB2312" w:hint="eastAsia"/>
          <w:sz w:val="32"/>
          <w:szCs w:val="32"/>
        </w:rPr>
        <w:t>编制人数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124</w:t>
      </w:r>
      <w:r w:rsidRPr="00424D09">
        <w:rPr>
          <w:rFonts w:ascii="仿宋" w:eastAsia="仿宋" w:hAnsi="仿宋" w:cs="仿宋_GB2312" w:hint="eastAsia"/>
          <w:sz w:val="32"/>
          <w:szCs w:val="32"/>
        </w:rPr>
        <w:t>人,其中：行政编制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0</w:t>
      </w:r>
      <w:r w:rsidRPr="00424D09">
        <w:rPr>
          <w:rFonts w:ascii="仿宋" w:eastAsia="仿宋" w:hAnsi="仿宋" w:cs="仿宋_GB2312" w:hint="eastAsia"/>
          <w:sz w:val="32"/>
          <w:szCs w:val="32"/>
        </w:rPr>
        <w:t xml:space="preserve"> 人、全额补助事业编制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124</w:t>
      </w:r>
      <w:r w:rsidRPr="00424D09">
        <w:rPr>
          <w:rFonts w:ascii="仿宋" w:eastAsia="仿宋" w:hAnsi="仿宋" w:cs="仿宋_GB2312" w:hint="eastAsia"/>
          <w:sz w:val="32"/>
          <w:szCs w:val="32"/>
        </w:rPr>
        <w:t>人；实有人数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124</w:t>
      </w:r>
      <w:r w:rsidRPr="00424D09">
        <w:rPr>
          <w:rFonts w:ascii="仿宋" w:eastAsia="仿宋" w:hAnsi="仿宋" w:cs="仿宋_GB2312" w:hint="eastAsia"/>
          <w:sz w:val="32"/>
          <w:szCs w:val="32"/>
        </w:rPr>
        <w:t>人，在职人数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124</w:t>
      </w:r>
      <w:r w:rsidRPr="00424D09">
        <w:rPr>
          <w:rFonts w:ascii="仿宋" w:eastAsia="仿宋" w:hAnsi="仿宋" w:cs="仿宋_GB2312" w:hint="eastAsia"/>
          <w:sz w:val="32"/>
          <w:szCs w:val="32"/>
        </w:rPr>
        <w:t>人（包括行政人员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0</w:t>
      </w:r>
      <w:r w:rsidRPr="00424D09">
        <w:rPr>
          <w:rFonts w:ascii="仿宋" w:eastAsia="仿宋" w:hAnsi="仿宋" w:cs="仿宋_GB2312" w:hint="eastAsia"/>
          <w:sz w:val="32"/>
          <w:szCs w:val="32"/>
        </w:rPr>
        <w:t>人、全额补助事业人员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124</w:t>
      </w:r>
      <w:r w:rsidRPr="00424D09">
        <w:rPr>
          <w:rFonts w:ascii="仿宋" w:eastAsia="仿宋" w:hAnsi="仿宋" w:cs="仿宋_GB2312" w:hint="eastAsia"/>
          <w:sz w:val="32"/>
          <w:szCs w:val="32"/>
        </w:rPr>
        <w:t>人）；退休人员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48</w:t>
      </w:r>
      <w:r w:rsidRPr="00424D09">
        <w:rPr>
          <w:rFonts w:ascii="仿宋" w:eastAsia="仿宋" w:hAnsi="仿宋" w:cs="仿宋_GB2312" w:hint="eastAsia"/>
          <w:sz w:val="32"/>
          <w:szCs w:val="32"/>
        </w:rPr>
        <w:t>人，其中行政离退休人员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0</w:t>
      </w:r>
      <w:r w:rsidRPr="00424D09">
        <w:rPr>
          <w:rFonts w:ascii="仿宋" w:eastAsia="仿宋" w:hAnsi="仿宋" w:cs="仿宋_GB2312" w:hint="eastAsia"/>
          <w:sz w:val="32"/>
          <w:szCs w:val="32"/>
        </w:rPr>
        <w:t>人，全额补助事业退休人数</w:t>
      </w:r>
      <w:r w:rsidR="00B1617D" w:rsidRPr="00424D09">
        <w:rPr>
          <w:rFonts w:ascii="仿宋" w:eastAsia="仿宋" w:hAnsi="仿宋" w:cs="仿宋_GB2312" w:hint="eastAsia"/>
          <w:sz w:val="32"/>
          <w:szCs w:val="32"/>
        </w:rPr>
        <w:t>48</w:t>
      </w:r>
      <w:r w:rsidRPr="00424D09">
        <w:rPr>
          <w:rFonts w:ascii="仿宋" w:eastAsia="仿宋" w:hAnsi="仿宋" w:cs="仿宋_GB2312" w:hint="eastAsia"/>
          <w:sz w:val="32"/>
          <w:szCs w:val="32"/>
        </w:rPr>
        <w:t>人。</w:t>
      </w:r>
    </w:p>
    <w:p w:rsidR="00033353" w:rsidRPr="00424D09" w:rsidRDefault="00033353" w:rsidP="00424D09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2.部门组织</w:t>
      </w:r>
      <w:r w:rsidR="001A5D51" w:rsidRPr="00424D09">
        <w:rPr>
          <w:rFonts w:ascii="仿宋" w:eastAsia="仿宋" w:hAnsi="仿宋" w:hint="eastAsia"/>
          <w:sz w:val="32"/>
          <w:szCs w:val="32"/>
        </w:rPr>
        <w:t>管理</w:t>
      </w:r>
      <w:r w:rsidRPr="00424D09">
        <w:rPr>
          <w:rFonts w:ascii="仿宋" w:eastAsia="仿宋" w:hAnsi="仿宋" w:hint="eastAsia"/>
          <w:sz w:val="32"/>
          <w:szCs w:val="32"/>
        </w:rPr>
        <w:t>情况。</w:t>
      </w:r>
    </w:p>
    <w:p w:rsidR="009F61EA" w:rsidRPr="00424D09" w:rsidRDefault="009F61EA" w:rsidP="001A5D51">
      <w:pPr>
        <w:spacing w:line="440" w:lineRule="exact"/>
        <w:ind w:left="60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1）日常管理</w:t>
      </w:r>
    </w:p>
    <w:p w:rsidR="009F61EA" w:rsidRPr="00424D09" w:rsidRDefault="009F61EA" w:rsidP="001A5D51">
      <w:pPr>
        <w:spacing w:line="4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严格遵守作息制度，准时上、下班，不擅离职守，不做与工作无关的事；严格执行请销假制度，未办理请假手续而离岗按缺勤处理；严格执行挂点制度，挂点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年级校级</w:t>
      </w:r>
      <w:r w:rsidRPr="00424D09">
        <w:rPr>
          <w:rFonts w:ascii="仿宋" w:eastAsia="仿宋" w:hAnsi="仿宋" w:cs="仿宋_GB2312" w:hint="eastAsia"/>
          <w:sz w:val="32"/>
          <w:szCs w:val="32"/>
        </w:rPr>
        <w:t>领导和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中层</w:t>
      </w:r>
      <w:r w:rsidRPr="00424D09">
        <w:rPr>
          <w:rFonts w:ascii="仿宋" w:eastAsia="仿宋" w:hAnsi="仿宋" w:cs="仿宋_GB2312" w:hint="eastAsia"/>
          <w:sz w:val="32"/>
          <w:szCs w:val="32"/>
        </w:rPr>
        <w:t>干部对挂点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年级</w:t>
      </w:r>
      <w:r w:rsidRPr="00424D09">
        <w:rPr>
          <w:rFonts w:ascii="仿宋" w:eastAsia="仿宋" w:hAnsi="仿宋" w:cs="仿宋_GB2312" w:hint="eastAsia"/>
          <w:sz w:val="32"/>
          <w:szCs w:val="32"/>
        </w:rPr>
        <w:t>工作的督查实行领导负责制；严格执行会议签到制度，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全体教职工</w:t>
      </w:r>
      <w:r w:rsidRPr="00424D09">
        <w:rPr>
          <w:rFonts w:ascii="仿宋" w:eastAsia="仿宋" w:hAnsi="仿宋" w:cs="仿宋_GB2312" w:hint="eastAsia"/>
          <w:sz w:val="32"/>
          <w:szCs w:val="32"/>
        </w:rPr>
        <w:t>要准时参加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学校</w:t>
      </w:r>
      <w:r w:rsidRPr="00424D09">
        <w:rPr>
          <w:rFonts w:ascii="仿宋" w:eastAsia="仿宋" w:hAnsi="仿宋" w:cs="仿宋_GB2312" w:hint="eastAsia"/>
          <w:sz w:val="32"/>
          <w:szCs w:val="32"/>
        </w:rPr>
        <w:t>组织的各项会议，遵守会议纪律，做到不迟到早退等。</w:t>
      </w:r>
    </w:p>
    <w:p w:rsidR="009F61EA" w:rsidRPr="00424D09" w:rsidRDefault="009F61EA" w:rsidP="009F61EA">
      <w:pPr>
        <w:spacing w:line="420" w:lineRule="exact"/>
        <w:ind w:left="60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2）财务管理</w:t>
      </w:r>
    </w:p>
    <w:p w:rsidR="009F61EA" w:rsidRPr="00424D09" w:rsidRDefault="009F61EA" w:rsidP="009F61EA">
      <w:pPr>
        <w:spacing w:line="4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根据单位实际情况，合理编制预决算，</w:t>
      </w:r>
      <w:r w:rsidRPr="00424D09">
        <w:rPr>
          <w:rFonts w:ascii="仿宋" w:eastAsia="仿宋" w:hAnsi="仿宋" w:cs="宋体" w:hint="eastAsia"/>
          <w:color w:val="000000"/>
          <w:spacing w:val="17"/>
          <w:kern w:val="0"/>
          <w:sz w:val="32"/>
          <w:szCs w:val="32"/>
        </w:rPr>
        <w:t>严格执行预算，</w:t>
      </w:r>
      <w:r w:rsidRPr="00424D09">
        <w:rPr>
          <w:rFonts w:ascii="仿宋" w:eastAsia="仿宋" w:hAnsi="仿宋" w:hint="eastAsia"/>
          <w:sz w:val="32"/>
          <w:szCs w:val="32"/>
        </w:rPr>
        <w:t>无预算的不予报销</w:t>
      </w:r>
      <w:r w:rsidRPr="00424D09">
        <w:rPr>
          <w:rFonts w:ascii="仿宋" w:eastAsia="仿宋" w:hAnsi="仿宋" w:cs="仿宋_GB2312" w:hint="eastAsia"/>
          <w:sz w:val="32"/>
          <w:szCs w:val="32"/>
        </w:rPr>
        <w:t>；</w:t>
      </w:r>
    </w:p>
    <w:p w:rsidR="009F61EA" w:rsidRPr="00424D09" w:rsidRDefault="009F61EA" w:rsidP="009F61EA">
      <w:pPr>
        <w:spacing w:line="420" w:lineRule="exact"/>
        <w:ind w:firstLine="640"/>
        <w:rPr>
          <w:rFonts w:ascii="仿宋" w:eastAsia="仿宋" w:hAnsi="仿宋" w:cs="仿宋_GB2312"/>
          <w:color w:val="000000"/>
          <w:spacing w:val="17"/>
          <w:kern w:val="0"/>
          <w:sz w:val="32"/>
          <w:szCs w:val="32"/>
        </w:rPr>
      </w:pPr>
      <w:r w:rsidRPr="00424D09">
        <w:rPr>
          <w:rFonts w:ascii="仿宋" w:eastAsia="仿宋" w:hAnsi="仿宋" w:cs="仿宋_GB2312" w:hint="eastAsia"/>
          <w:color w:val="000000"/>
          <w:spacing w:val="17"/>
          <w:kern w:val="0"/>
          <w:sz w:val="32"/>
          <w:szCs w:val="32"/>
        </w:rPr>
        <w:t>严格按照国家有关政策规定依法组织收入，各项收费严格执行国家规定的收费范围和标准，各项收入必须全部纳入预算，统一核算管理，实行“收支”两条线，不得坐收坐支，不得截留、挪用。</w:t>
      </w:r>
    </w:p>
    <w:p w:rsidR="009F61EA" w:rsidRPr="00424D09" w:rsidRDefault="009F61EA" w:rsidP="009F61EA">
      <w:pPr>
        <w:spacing w:line="4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424D09">
        <w:rPr>
          <w:rFonts w:ascii="仿宋" w:eastAsia="仿宋" w:hAnsi="仿宋" w:cs="宋体" w:hint="eastAsia"/>
          <w:color w:val="000000"/>
          <w:spacing w:val="17"/>
          <w:kern w:val="0"/>
          <w:sz w:val="32"/>
          <w:szCs w:val="32"/>
        </w:rPr>
        <w:t>各项支出应当严格执行国家有关财务规章制度规定</w:t>
      </w:r>
      <w:r w:rsidRPr="00424D09">
        <w:rPr>
          <w:rFonts w:ascii="仿宋" w:eastAsia="仿宋" w:hAnsi="仿宋" w:cs="宋体" w:hint="eastAsia"/>
          <w:color w:val="000000"/>
          <w:spacing w:val="17"/>
          <w:kern w:val="0"/>
          <w:sz w:val="32"/>
          <w:szCs w:val="32"/>
        </w:rPr>
        <w:lastRenderedPageBreak/>
        <w:t>的开支范围及标准，各</w:t>
      </w:r>
      <w:r w:rsidRPr="00424D09">
        <w:rPr>
          <w:rFonts w:ascii="仿宋" w:eastAsia="仿宋" w:hAnsi="仿宋" w:cs="仿宋_GB2312" w:hint="eastAsia"/>
          <w:color w:val="000000"/>
          <w:spacing w:val="17"/>
          <w:kern w:val="0"/>
          <w:sz w:val="32"/>
          <w:szCs w:val="32"/>
        </w:rPr>
        <w:t>项支出费用合法合理，厉行节约，确保专款专用。严格支出审批程序，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在资金使用审批上按照先审核后签字的原则，</w:t>
      </w:r>
      <w:r w:rsidR="00A773D9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学校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报账由财务</w:t>
      </w:r>
      <w:r w:rsidR="00A773D9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人员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先行审核票据，合规票据交由</w:t>
      </w:r>
      <w:r w:rsidR="00A773D9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分管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领导审批，不合规票据退回</w:t>
      </w:r>
      <w:r w:rsidR="00A773D9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各处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室，报账统一到县</w:t>
      </w:r>
      <w:r w:rsidR="00A773D9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教科体局财务核算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中心进行票据审核和资金支付。</w:t>
      </w:r>
    </w:p>
    <w:p w:rsidR="009F61EA" w:rsidRPr="00424D09" w:rsidRDefault="009F61EA" w:rsidP="009F61EA">
      <w:pPr>
        <w:spacing w:line="420" w:lineRule="exact"/>
        <w:ind w:left="60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3）专项资金管理</w:t>
      </w:r>
    </w:p>
    <w:p w:rsidR="009F61EA" w:rsidRPr="00424D09" w:rsidRDefault="009F61EA" w:rsidP="009F61EA">
      <w:pPr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在专项资金的使用上，根据专项工作不同要求，合理分配专项资金使用，坚持专项资金使用的公开、透明。严格执行专款专用，不得随意更改资金用途，将资金挪作他用。</w:t>
      </w:r>
    </w:p>
    <w:p w:rsidR="009F61EA" w:rsidRPr="00424D09" w:rsidRDefault="009F61EA" w:rsidP="009F61EA">
      <w:pPr>
        <w:spacing w:line="420" w:lineRule="exact"/>
        <w:ind w:left="60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4）资产管理</w:t>
      </w:r>
    </w:p>
    <w:p w:rsidR="009F61EA" w:rsidRPr="00424D09" w:rsidRDefault="009F61EA" w:rsidP="009F61EA">
      <w:pPr>
        <w:spacing w:line="420" w:lineRule="exact"/>
        <w:rPr>
          <w:rFonts w:ascii="仿宋" w:eastAsia="仿宋" w:hAnsi="仿宋" w:cs="仿宋_GB2312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 xml:space="preserve">    </w:t>
      </w:r>
      <w:r w:rsidRPr="00424D09">
        <w:rPr>
          <w:rFonts w:ascii="仿宋" w:eastAsia="仿宋" w:hAnsi="仿宋" w:cs="仿宋_GB2312" w:hint="eastAsia"/>
          <w:sz w:val="32"/>
          <w:szCs w:val="32"/>
        </w:rPr>
        <w:t>固定资产指定专人管理，登记造册，建好卡片，形成电子档案。每年</w:t>
      </w:r>
      <w:r w:rsidRPr="00424D09">
        <w:rPr>
          <w:rFonts w:ascii="仿宋" w:eastAsia="仿宋" w:hAnsi="仿宋" w:hint="eastAsia"/>
          <w:sz w:val="32"/>
          <w:szCs w:val="32"/>
        </w:rPr>
        <w:t>要定期进行固定资产清查，保证固定资产账实相符。对于固定资产的报废处理，要严格按照固定资产报废程序进行处理，残值收入要依据收入管理办法</w:t>
      </w:r>
      <w:r w:rsidRPr="00424D09">
        <w:rPr>
          <w:rFonts w:ascii="仿宋" w:eastAsia="仿宋" w:hAnsi="仿宋" w:cs="仿宋_GB2312" w:hint="eastAsia"/>
          <w:color w:val="000000"/>
          <w:spacing w:val="17"/>
          <w:kern w:val="0"/>
          <w:sz w:val="32"/>
          <w:szCs w:val="32"/>
        </w:rPr>
        <w:t>纳入预算，统一核算管理。</w:t>
      </w:r>
    </w:p>
    <w:p w:rsidR="009F61EA" w:rsidRPr="00424D09" w:rsidRDefault="009F61EA" w:rsidP="009F61EA">
      <w:pPr>
        <w:spacing w:line="420" w:lineRule="exact"/>
        <w:ind w:left="60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5）档案管理</w:t>
      </w:r>
    </w:p>
    <w:p w:rsidR="009F61EA" w:rsidRPr="00424D09" w:rsidRDefault="009F61EA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人事档案由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局机关</w:t>
      </w:r>
      <w:r w:rsidRPr="00424D09">
        <w:rPr>
          <w:rFonts w:ascii="仿宋" w:eastAsia="仿宋" w:hAnsi="仿宋" w:cs="仿宋_GB2312" w:hint="eastAsia"/>
          <w:sz w:val="32"/>
          <w:szCs w:val="32"/>
        </w:rPr>
        <w:t>档案室统一进行保管和管理，学校会计档案每年年底由局财务核算中心移交给学校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总务处进行保管</w:t>
      </w:r>
      <w:r w:rsidRPr="00424D09">
        <w:rPr>
          <w:rFonts w:ascii="仿宋" w:eastAsia="仿宋" w:hAnsi="仿宋" w:cs="仿宋_GB2312" w:hint="eastAsia"/>
          <w:sz w:val="32"/>
          <w:szCs w:val="32"/>
        </w:rPr>
        <w:t>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（二）当年部门履职情况。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1.总体目标</w:t>
      </w:r>
    </w:p>
    <w:p w:rsidR="00644046" w:rsidRPr="00424D09" w:rsidRDefault="00644046" w:rsidP="00424D09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贯彻执行党和国家的教育科技体育工作的方针、政策</w:t>
      </w:r>
      <w:r w:rsidR="00A773D9" w:rsidRPr="00424D09">
        <w:rPr>
          <w:rFonts w:ascii="仿宋" w:eastAsia="仿宋" w:hAnsi="仿宋" w:cs="仿宋_GB2312" w:hint="eastAsia"/>
          <w:sz w:val="32"/>
          <w:szCs w:val="32"/>
        </w:rPr>
        <w:t>、法律和有关教育行政法规。负责组织落实全县教育科技体育各项工作</w:t>
      </w:r>
      <w:r w:rsidRPr="00424D09">
        <w:rPr>
          <w:rFonts w:ascii="仿宋" w:eastAsia="仿宋" w:hAnsi="仿宋" w:cs="仿宋_GB2312" w:hint="eastAsia"/>
          <w:sz w:val="32"/>
          <w:szCs w:val="32"/>
        </w:rPr>
        <w:t>。</w:t>
      </w:r>
    </w:p>
    <w:p w:rsidR="0012257A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2.工作任务</w:t>
      </w:r>
    </w:p>
    <w:p w:rsidR="0012257A" w:rsidRPr="00424D09" w:rsidRDefault="0012257A" w:rsidP="0091357F">
      <w:pPr>
        <w:adjustRightInd w:val="0"/>
        <w:snapToGrid w:val="0"/>
        <w:spacing w:line="420" w:lineRule="exact"/>
        <w:ind w:firstLine="641"/>
        <w:rPr>
          <w:rFonts w:ascii="仿宋" w:eastAsia="仿宋" w:hAnsi="仿宋" w:cs="仿宋_GB2312"/>
          <w:color w:val="000000"/>
          <w:sz w:val="32"/>
          <w:szCs w:val="32"/>
        </w:rPr>
      </w:pPr>
      <w:r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在县委、县政府的正确领导及</w:t>
      </w:r>
      <w:r w:rsidR="0091357F"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县</w:t>
      </w:r>
      <w:r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教育科技体育</w:t>
      </w:r>
      <w:r w:rsidR="0091357F"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局</w:t>
      </w:r>
      <w:r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主管部门大力支持下，我</w:t>
      </w:r>
      <w:r w:rsidR="0091357F"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校</w:t>
      </w:r>
      <w:r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团结带领全体</w:t>
      </w:r>
      <w:r w:rsidR="0091357F"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教</w:t>
      </w:r>
      <w:r w:rsidRPr="00424D09">
        <w:rPr>
          <w:rFonts w:ascii="仿宋" w:eastAsia="仿宋" w:hAnsi="仿宋" w:cs="仿宋_GB2312" w:hint="eastAsia"/>
          <w:color w:val="000000"/>
          <w:sz w:val="32"/>
          <w:szCs w:val="32"/>
        </w:rPr>
        <w:t>职工，按照“重塑教育新形象的目标，突出义务教育均衡发展的重点，提升教学教研及学校管理水平，推进校建工程、师资队伍、平安校园三项建设”的思路，锐意进取，扎实工作，各项工作取得了一定成效。</w:t>
      </w:r>
    </w:p>
    <w:p w:rsidR="00033353" w:rsidRPr="00424D09" w:rsidRDefault="0012257A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_GB2312" w:hint="eastAsia"/>
          <w:bCs/>
          <w:snapToGrid w:val="0"/>
          <w:color w:val="000000"/>
          <w:kern w:val="0"/>
          <w:sz w:val="32"/>
          <w:szCs w:val="32"/>
        </w:rPr>
        <w:t>切实加强校园安全宣传教育。</w:t>
      </w:r>
      <w:r w:rsidRPr="00424D09">
        <w:rPr>
          <w:rFonts w:ascii="仿宋" w:eastAsia="仿宋" w:hAnsi="仿宋" w:hint="eastAsia"/>
          <w:color w:val="000000"/>
          <w:sz w:val="32"/>
          <w:szCs w:val="32"/>
        </w:rPr>
        <w:t>一是</w:t>
      </w:r>
      <w:r w:rsidRPr="00424D09">
        <w:rPr>
          <w:rStyle w:val="newss1"/>
          <w:rFonts w:ascii="仿宋" w:eastAsia="仿宋" w:hAnsi="仿宋" w:cs="仿宋_GB2312" w:hint="eastAsia"/>
          <w:sz w:val="32"/>
          <w:szCs w:val="32"/>
        </w:rPr>
        <w:t>加强安全教育，通过主题班会、国旗下讲话、板报宣传等形式着力加强防溺水、道路交通、食品卫生等宣传教育，增强广大师生的安全意识。</w:t>
      </w:r>
      <w:r w:rsidRPr="00424D09">
        <w:rPr>
          <w:rStyle w:val="newss1"/>
          <w:rFonts w:ascii="仿宋" w:eastAsia="仿宋" w:hAnsi="仿宋" w:cs="仿宋_GB2312" w:hint="eastAsia"/>
          <w:bCs/>
          <w:sz w:val="32"/>
          <w:szCs w:val="32"/>
        </w:rPr>
        <w:t>二是</w:t>
      </w:r>
      <w:r w:rsidRPr="00424D09">
        <w:rPr>
          <w:rStyle w:val="newss1"/>
          <w:rFonts w:ascii="仿宋" w:eastAsia="仿宋" w:hAnsi="仿宋" w:cs="仿宋_GB2312" w:hint="eastAsia"/>
          <w:sz w:val="32"/>
          <w:szCs w:val="32"/>
        </w:rPr>
        <w:t>积极开展应急演练，</w:t>
      </w:r>
      <w:r w:rsidRPr="00424D09">
        <w:rPr>
          <w:rFonts w:ascii="仿宋" w:eastAsia="仿宋" w:hAnsi="仿宋" w:hint="eastAsia"/>
          <w:snapToGrid w:val="0"/>
          <w:kern w:val="0"/>
          <w:sz w:val="32"/>
          <w:szCs w:val="32"/>
        </w:rPr>
        <w:t>上好安全教育“第一课”，积极组织开展应急疏散等安全演练活动，进一步提升师生应急防范及处置能力。</w:t>
      </w:r>
      <w:r w:rsidRPr="00424D09">
        <w:rPr>
          <w:rFonts w:ascii="仿宋" w:eastAsia="仿宋" w:hAnsi="仿宋" w:hint="eastAsia"/>
          <w:bCs/>
          <w:snapToGrid w:val="0"/>
          <w:kern w:val="0"/>
          <w:sz w:val="32"/>
          <w:szCs w:val="32"/>
        </w:rPr>
        <w:t>三是</w:t>
      </w:r>
      <w:r w:rsidRPr="00424D09">
        <w:rPr>
          <w:rStyle w:val="newss1"/>
          <w:rFonts w:ascii="仿宋" w:eastAsia="仿宋" w:hAnsi="仿宋" w:cs="仿宋_GB2312" w:hint="eastAsia"/>
          <w:sz w:val="32"/>
          <w:szCs w:val="32"/>
        </w:rPr>
        <w:t>加强校园巡</w:t>
      </w:r>
      <w:r w:rsidRPr="00424D09">
        <w:rPr>
          <w:rFonts w:ascii="仿宋" w:eastAsia="仿宋" w:hAnsi="仿宋" w:hint="eastAsia"/>
          <w:color w:val="000000"/>
          <w:sz w:val="32"/>
          <w:szCs w:val="32"/>
        </w:rPr>
        <w:t>查，强化门卫管理，严格落实值班责任制，确保校园安全。四是</w:t>
      </w:r>
      <w:r w:rsidRPr="00424D09">
        <w:rPr>
          <w:rFonts w:ascii="仿宋" w:eastAsia="仿宋" w:hAnsi="仿宋" w:hint="eastAsia"/>
          <w:snapToGrid w:val="0"/>
          <w:sz w:val="32"/>
          <w:szCs w:val="32"/>
        </w:rPr>
        <w:t>加强信访维稳，贯彻落实“1+3”维稳责任制，切实加强重点信访人员思想疏导工作，防范越级上访行为的发生。通过全</w:t>
      </w:r>
      <w:r w:rsidR="009C235C" w:rsidRPr="00424D09">
        <w:rPr>
          <w:rFonts w:ascii="仿宋" w:eastAsia="仿宋" w:hAnsi="仿宋" w:hint="eastAsia"/>
          <w:snapToGrid w:val="0"/>
          <w:sz w:val="32"/>
          <w:szCs w:val="32"/>
        </w:rPr>
        <w:t>校</w:t>
      </w:r>
      <w:r w:rsidRPr="00424D09">
        <w:rPr>
          <w:rFonts w:ascii="仿宋" w:eastAsia="仿宋" w:hAnsi="仿宋" w:hint="eastAsia"/>
          <w:snapToGrid w:val="0"/>
          <w:sz w:val="32"/>
          <w:szCs w:val="32"/>
        </w:rPr>
        <w:t>上下共同努力，一年来未发生一起安全事故。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（三）当年部门年度整体支出绩效目标。</w:t>
      </w:r>
    </w:p>
    <w:p w:rsidR="00644046" w:rsidRPr="00424D09" w:rsidRDefault="0064404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目标1：开展教育教学改革，着力提升学校日常管理水平，通过完善绩效考核、综合考评、教育教学奖励办法等制度和方案，加强管理。</w:t>
      </w:r>
    </w:p>
    <w:p w:rsidR="00644046" w:rsidRPr="00424D09" w:rsidRDefault="0064404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目标2：利用好师资培训经费，对接“国培计划”，通过开展各项教师培训活动，加强教师队伍建设。</w:t>
      </w:r>
    </w:p>
    <w:p w:rsidR="00644046" w:rsidRPr="00424D09" w:rsidRDefault="0064404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目标3：</w:t>
      </w:r>
      <w:r w:rsidR="00605686" w:rsidRPr="00424D09">
        <w:rPr>
          <w:rFonts w:ascii="仿宋" w:eastAsia="仿宋" w:hAnsi="仿宋"/>
          <w:sz w:val="32"/>
          <w:szCs w:val="32"/>
        </w:rPr>
        <w:t>以德治校"三注重"：注重班子团结协作与队伍建设；注重师德教风训练考核；注重学生育人活动组织，重点抓养成、抓习惯、抓细节、抓过程。</w:t>
      </w:r>
    </w:p>
    <w:p w:rsidR="00605686" w:rsidRPr="00424D09" w:rsidRDefault="0064404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目标4：</w:t>
      </w:r>
      <w:r w:rsidR="00605686" w:rsidRPr="00424D09">
        <w:rPr>
          <w:rFonts w:ascii="仿宋" w:eastAsia="仿宋" w:hAnsi="仿宋"/>
          <w:sz w:val="32"/>
          <w:szCs w:val="32"/>
        </w:rPr>
        <w:t>制定安全制度、计划并总结归档；健全学校安全工作组织机构。落实安全法规文件，开展安全、法制宣传教育活动；设定学校应急预案及进行演练，每期1次消防安全和紧急疏散演习；定期对安全设施进行检查，达到安全工作零事故的目标。</w:t>
      </w:r>
    </w:p>
    <w:p w:rsidR="00605686" w:rsidRPr="00424D09" w:rsidRDefault="0060568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目标5：</w:t>
      </w:r>
      <w:r w:rsidRPr="00424D09">
        <w:rPr>
          <w:rFonts w:ascii="仿宋" w:eastAsia="仿宋" w:hAnsi="仿宋"/>
          <w:sz w:val="32"/>
          <w:szCs w:val="32"/>
        </w:rPr>
        <w:t>学校账务公开：按上级要求规范收费；严格按照财政局要求使用公用经费；固定资产专人管理登记，账目规范。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（四）部门预算绩效管理开展情况。</w:t>
      </w:r>
    </w:p>
    <w:p w:rsidR="00737FB2" w:rsidRPr="00424D09" w:rsidRDefault="00737FB2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一是各项支出严格按照预算额度进行控制，努力节约经费；二是各项工作均能够按时完成，且质量较高；三是部门整体支出使用效果达到了预期。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（五）当年部门预算及执行情况。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2020年初县财政局批复我单位部门预算支出</w:t>
      </w:r>
      <w:r w:rsidR="009F1600" w:rsidRPr="00424D09">
        <w:rPr>
          <w:rFonts w:ascii="仿宋" w:eastAsia="仿宋" w:hAnsi="仿宋" w:hint="eastAsia"/>
          <w:sz w:val="32"/>
          <w:szCs w:val="32"/>
        </w:rPr>
        <w:t>1457.81</w:t>
      </w:r>
      <w:r w:rsidRPr="00424D09">
        <w:rPr>
          <w:rFonts w:ascii="仿宋" w:eastAsia="仿宋" w:hAnsi="仿宋" w:hint="eastAsia"/>
          <w:sz w:val="32"/>
          <w:szCs w:val="32"/>
        </w:rPr>
        <w:t>万元，年度预算调整</w:t>
      </w:r>
      <w:r w:rsidR="003F3A8D" w:rsidRPr="00424D09">
        <w:rPr>
          <w:rFonts w:ascii="仿宋" w:eastAsia="仿宋" w:hAnsi="仿宋" w:hint="eastAsia"/>
          <w:sz w:val="32"/>
          <w:szCs w:val="32"/>
        </w:rPr>
        <w:t>436.77</w:t>
      </w:r>
      <w:r w:rsidRPr="00424D09">
        <w:rPr>
          <w:rFonts w:ascii="仿宋" w:eastAsia="仿宋" w:hAnsi="仿宋" w:hint="eastAsia"/>
          <w:sz w:val="32"/>
          <w:szCs w:val="32"/>
        </w:rPr>
        <w:t>万元，调整后</w:t>
      </w:r>
      <w:r w:rsidR="009F1600" w:rsidRPr="00424D09">
        <w:rPr>
          <w:rFonts w:ascii="仿宋" w:eastAsia="仿宋" w:hAnsi="仿宋" w:hint="eastAsia"/>
          <w:sz w:val="32"/>
          <w:szCs w:val="32"/>
        </w:rPr>
        <w:t>18</w:t>
      </w:r>
      <w:r w:rsidR="003F3A8D" w:rsidRPr="00424D09">
        <w:rPr>
          <w:rFonts w:ascii="仿宋" w:eastAsia="仿宋" w:hAnsi="仿宋" w:hint="eastAsia"/>
          <w:sz w:val="32"/>
          <w:szCs w:val="32"/>
        </w:rPr>
        <w:t>94.58</w:t>
      </w:r>
      <w:r w:rsidRPr="00424D09">
        <w:rPr>
          <w:rFonts w:ascii="仿宋" w:eastAsia="仿宋" w:hAnsi="仿宋" w:hint="eastAsia"/>
          <w:sz w:val="32"/>
          <w:szCs w:val="32"/>
        </w:rPr>
        <w:t>万元。当年实际完成收入</w:t>
      </w:r>
      <w:r w:rsidR="009F1600" w:rsidRPr="00424D09">
        <w:rPr>
          <w:rFonts w:ascii="仿宋" w:eastAsia="仿宋" w:hAnsi="仿宋" w:hint="eastAsia"/>
          <w:sz w:val="32"/>
          <w:szCs w:val="32"/>
        </w:rPr>
        <w:t>1845.59</w:t>
      </w:r>
      <w:r w:rsidRPr="00424D09">
        <w:rPr>
          <w:rFonts w:ascii="仿宋" w:eastAsia="仿宋" w:hAnsi="仿宋" w:hint="eastAsia"/>
          <w:sz w:val="32"/>
          <w:szCs w:val="32"/>
        </w:rPr>
        <w:t>万元</w:t>
      </w:r>
      <w:r w:rsidR="0044086F" w:rsidRPr="00424D09">
        <w:rPr>
          <w:rFonts w:ascii="仿宋" w:eastAsia="仿宋" w:hAnsi="仿宋" w:hint="eastAsia"/>
          <w:sz w:val="32"/>
          <w:szCs w:val="32"/>
        </w:rPr>
        <w:t>（不含上年结转</w:t>
      </w:r>
      <w:r w:rsidR="009F1600" w:rsidRPr="00424D09">
        <w:rPr>
          <w:rFonts w:ascii="仿宋" w:eastAsia="仿宋" w:hAnsi="仿宋" w:hint="eastAsia"/>
          <w:sz w:val="32"/>
          <w:szCs w:val="32"/>
        </w:rPr>
        <w:t>48.99</w:t>
      </w:r>
      <w:r w:rsidR="0044086F" w:rsidRPr="00424D09">
        <w:rPr>
          <w:rFonts w:ascii="仿宋" w:eastAsia="仿宋" w:hAnsi="仿宋" w:hint="eastAsia"/>
          <w:sz w:val="32"/>
          <w:szCs w:val="32"/>
        </w:rPr>
        <w:t>万元）</w:t>
      </w:r>
      <w:r w:rsidRPr="00424D09">
        <w:rPr>
          <w:rFonts w:ascii="仿宋" w:eastAsia="仿宋" w:hAnsi="仿宋" w:hint="eastAsia"/>
          <w:sz w:val="32"/>
          <w:szCs w:val="32"/>
        </w:rPr>
        <w:t>；完成支出</w:t>
      </w:r>
      <w:r w:rsidR="009F1600" w:rsidRPr="00424D09">
        <w:rPr>
          <w:rFonts w:ascii="仿宋" w:eastAsia="仿宋" w:hAnsi="仿宋" w:hint="eastAsia"/>
          <w:sz w:val="32"/>
          <w:szCs w:val="32"/>
        </w:rPr>
        <w:t>1872.70</w:t>
      </w:r>
      <w:r w:rsidRPr="00424D09">
        <w:rPr>
          <w:rFonts w:ascii="仿宋" w:eastAsia="仿宋" w:hAnsi="仿宋" w:hint="eastAsia"/>
          <w:sz w:val="32"/>
          <w:szCs w:val="32"/>
        </w:rPr>
        <w:t>万元，其中工资福利支出</w:t>
      </w:r>
      <w:r w:rsidR="009F1600" w:rsidRPr="00424D09">
        <w:rPr>
          <w:rFonts w:ascii="仿宋" w:eastAsia="仿宋" w:hAnsi="仿宋" w:hint="eastAsia"/>
          <w:sz w:val="32"/>
          <w:szCs w:val="32"/>
        </w:rPr>
        <w:t>1419.93</w:t>
      </w:r>
      <w:r w:rsidRPr="00424D09">
        <w:rPr>
          <w:rFonts w:ascii="仿宋" w:eastAsia="仿宋" w:hAnsi="仿宋" w:hint="eastAsia"/>
          <w:sz w:val="32"/>
          <w:szCs w:val="32"/>
        </w:rPr>
        <w:t>万元、商品和服务支出</w:t>
      </w:r>
      <w:r w:rsidR="009F1600" w:rsidRPr="00424D09">
        <w:rPr>
          <w:rFonts w:ascii="仿宋" w:eastAsia="仿宋" w:hAnsi="仿宋" w:hint="eastAsia"/>
          <w:sz w:val="32"/>
          <w:szCs w:val="32"/>
        </w:rPr>
        <w:t>163.37</w:t>
      </w:r>
      <w:r w:rsidRPr="00424D09">
        <w:rPr>
          <w:rFonts w:ascii="仿宋" w:eastAsia="仿宋" w:hAnsi="仿宋" w:hint="eastAsia"/>
          <w:sz w:val="32"/>
          <w:szCs w:val="32"/>
        </w:rPr>
        <w:t>万元、对个人和家庭的补助支出</w:t>
      </w:r>
      <w:r w:rsidR="009F1600" w:rsidRPr="00424D09">
        <w:rPr>
          <w:rFonts w:ascii="仿宋" w:eastAsia="仿宋" w:hAnsi="仿宋" w:hint="eastAsia"/>
          <w:sz w:val="32"/>
          <w:szCs w:val="32"/>
        </w:rPr>
        <w:t>78.31</w:t>
      </w:r>
      <w:r w:rsidRPr="00424D09">
        <w:rPr>
          <w:rFonts w:ascii="仿宋" w:eastAsia="仿宋" w:hAnsi="仿宋" w:hint="eastAsia"/>
          <w:sz w:val="32"/>
          <w:szCs w:val="32"/>
        </w:rPr>
        <w:t>万元、其他资本性支出</w:t>
      </w:r>
      <w:r w:rsidR="009F1600" w:rsidRPr="00424D09">
        <w:rPr>
          <w:rFonts w:ascii="仿宋" w:eastAsia="仿宋" w:hAnsi="仿宋" w:hint="eastAsia"/>
          <w:sz w:val="32"/>
          <w:szCs w:val="32"/>
        </w:rPr>
        <w:t>211.09</w:t>
      </w:r>
      <w:r w:rsidRPr="00424D09">
        <w:rPr>
          <w:rFonts w:ascii="仿宋" w:eastAsia="仿宋" w:hAnsi="仿宋" w:hint="eastAsia"/>
          <w:sz w:val="32"/>
          <w:szCs w:val="32"/>
        </w:rPr>
        <w:t>万元；年底结余</w:t>
      </w:r>
      <w:r w:rsidR="009F1600" w:rsidRPr="00424D09">
        <w:rPr>
          <w:rFonts w:ascii="仿宋" w:eastAsia="仿宋" w:hAnsi="仿宋" w:hint="eastAsia"/>
          <w:sz w:val="32"/>
          <w:szCs w:val="32"/>
        </w:rPr>
        <w:t>21.88</w:t>
      </w:r>
      <w:r w:rsidRPr="00424D09">
        <w:rPr>
          <w:rFonts w:ascii="仿宋" w:eastAsia="仿宋" w:hAnsi="仿宋" w:hint="eastAsia"/>
          <w:sz w:val="32"/>
          <w:szCs w:val="32"/>
        </w:rPr>
        <w:t>万元，其中基本支出结余</w:t>
      </w:r>
      <w:r w:rsidR="009F1600" w:rsidRPr="00424D09">
        <w:rPr>
          <w:rFonts w:ascii="仿宋" w:eastAsia="仿宋" w:hAnsi="仿宋" w:hint="eastAsia"/>
          <w:sz w:val="32"/>
          <w:szCs w:val="32"/>
        </w:rPr>
        <w:t>21.88</w:t>
      </w:r>
      <w:r w:rsidRPr="00424D09">
        <w:rPr>
          <w:rFonts w:ascii="仿宋" w:eastAsia="仿宋" w:hAnsi="仿宋" w:hint="eastAsia"/>
          <w:sz w:val="32"/>
          <w:szCs w:val="32"/>
        </w:rPr>
        <w:t>万元、项目结余</w:t>
      </w:r>
      <w:r w:rsidR="0044086F" w:rsidRPr="00424D09">
        <w:rPr>
          <w:rFonts w:ascii="仿宋" w:eastAsia="仿宋" w:hAnsi="仿宋" w:hint="eastAsia"/>
          <w:sz w:val="32"/>
          <w:szCs w:val="32"/>
        </w:rPr>
        <w:t>0</w:t>
      </w:r>
      <w:r w:rsidRPr="00424D09">
        <w:rPr>
          <w:rFonts w:ascii="仿宋" w:eastAsia="仿宋" w:hAnsi="仿宋" w:hint="eastAsia"/>
          <w:sz w:val="32"/>
          <w:szCs w:val="32"/>
        </w:rPr>
        <w:t>万元。部门预算支出与决算的差异总额为</w:t>
      </w:r>
      <w:r w:rsidR="00B274B6" w:rsidRPr="00424D09">
        <w:rPr>
          <w:rFonts w:ascii="仿宋" w:eastAsia="仿宋" w:hAnsi="仿宋" w:hint="eastAsia"/>
          <w:sz w:val="32"/>
          <w:szCs w:val="32"/>
        </w:rPr>
        <w:t>0</w:t>
      </w:r>
      <w:r w:rsidRPr="00424D09">
        <w:rPr>
          <w:rFonts w:ascii="仿宋" w:eastAsia="仿宋" w:hAnsi="仿宋" w:hint="eastAsia"/>
          <w:sz w:val="32"/>
          <w:szCs w:val="32"/>
        </w:rPr>
        <w:t>万元，差异的具体情况及原因见下表：</w:t>
      </w:r>
    </w:p>
    <w:tbl>
      <w:tblPr>
        <w:tblW w:w="0" w:type="auto"/>
        <w:jc w:val="center"/>
        <w:tblLayout w:type="fixed"/>
        <w:tblLook w:val="0000"/>
      </w:tblPr>
      <w:tblGrid>
        <w:gridCol w:w="1960"/>
        <w:gridCol w:w="1501"/>
        <w:gridCol w:w="1440"/>
        <w:gridCol w:w="1500"/>
        <w:gridCol w:w="1395"/>
      </w:tblGrid>
      <w:tr w:rsidR="00033353" w:rsidRPr="00424D09">
        <w:trPr>
          <w:trHeight w:val="285"/>
          <w:jc w:val="center"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5003E4" w:rsidP="004D64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424D09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全南县第三小学</w:t>
            </w:r>
            <w:r w:rsidR="00033353" w:rsidRPr="00424D09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2020年度预算执行总体情况</w:t>
            </w:r>
          </w:p>
        </w:tc>
      </w:tr>
      <w:tr w:rsidR="00033353" w:rsidRPr="00424D09">
        <w:trPr>
          <w:trHeight w:val="10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单位：万元</w:t>
            </w:r>
          </w:p>
        </w:tc>
      </w:tr>
      <w:tr w:rsidR="00033353" w:rsidRPr="00424D09">
        <w:trPr>
          <w:trHeight w:val="33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项目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小计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4D642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其中</w:t>
            </w:r>
            <w:r w:rsidR="00033353" w:rsidRPr="00424D09">
              <w:rPr>
                <w:rFonts w:ascii="仿宋" w:eastAsia="仿宋" w:hAnsi="仿宋" w:cs="仿宋" w:hint="eastAsia"/>
                <w:kern w:val="0"/>
                <w:szCs w:val="21"/>
              </w:rPr>
              <w:t>基本支出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项目支出</w:t>
            </w:r>
          </w:p>
        </w:tc>
      </w:tr>
      <w:tr w:rsidR="00033353" w:rsidRPr="00424D09">
        <w:trPr>
          <w:trHeight w:val="355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人员经费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公用经费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54F8C" w:rsidRPr="00424D09">
        <w:trPr>
          <w:trHeight w:val="22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8C" w:rsidRPr="00424D09" w:rsidRDefault="00254F8C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预算数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8C" w:rsidRPr="00424D09" w:rsidRDefault="003F3A8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1894.58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F8C" w:rsidRPr="00424D09" w:rsidRDefault="003F3A8D" w:rsidP="000F2DD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1498.27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F8C" w:rsidRPr="00424D09" w:rsidRDefault="00254F8C" w:rsidP="000F2DD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374.46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F8C" w:rsidRPr="00424D09" w:rsidRDefault="00254F8C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033353" w:rsidRPr="00424D09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决算数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3F3A8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1894.58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254F8C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1498.24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5003E4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374.46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D64C8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033353" w:rsidRPr="00424D09">
        <w:trPr>
          <w:trHeight w:val="39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53" w:rsidRPr="00424D09" w:rsidRDefault="0003335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预决算的差异数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D64C8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D64C8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D64C8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353" w:rsidRPr="00424D09" w:rsidRDefault="00D64C88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</w:tr>
      <w:tr w:rsidR="00033353" w:rsidRPr="00424D09">
        <w:trPr>
          <w:trHeight w:val="530"/>
          <w:jc w:val="center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53" w:rsidRPr="00424D09" w:rsidRDefault="00033353">
            <w:pPr>
              <w:widowControl/>
              <w:spacing w:line="46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424D09">
              <w:rPr>
                <w:rFonts w:ascii="仿宋" w:eastAsia="仿宋" w:hAnsi="仿宋" w:cs="仿宋" w:hint="eastAsia"/>
                <w:kern w:val="0"/>
                <w:sz w:val="24"/>
              </w:rPr>
              <w:t>差异原因主要是：（具体文字说明）</w:t>
            </w:r>
          </w:p>
        </w:tc>
      </w:tr>
    </w:tbl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（一）基本支出</w:t>
      </w:r>
    </w:p>
    <w:p w:rsidR="003C7CE8" w:rsidRPr="00424D09" w:rsidRDefault="003C7CE8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cs="仿宋_GB2312" w:hint="eastAsia"/>
          <w:bCs/>
          <w:sz w:val="32"/>
          <w:szCs w:val="32"/>
        </w:rPr>
        <w:t>基本支出主要用于</w:t>
      </w:r>
      <w:r w:rsidR="00B274B6" w:rsidRPr="00424D09">
        <w:rPr>
          <w:rFonts w:ascii="仿宋" w:eastAsia="仿宋" w:hAnsi="仿宋" w:cs="仿宋_GB2312" w:hint="eastAsia"/>
          <w:bCs/>
          <w:sz w:val="32"/>
          <w:szCs w:val="32"/>
        </w:rPr>
        <w:t>学校</w:t>
      </w:r>
      <w:r w:rsidRPr="00424D09">
        <w:rPr>
          <w:rFonts w:ascii="仿宋" w:eastAsia="仿宋" w:hAnsi="仿宋" w:cs="仿宋_GB2312" w:hint="eastAsia"/>
          <w:bCs/>
          <w:sz w:val="32"/>
          <w:szCs w:val="32"/>
        </w:rPr>
        <w:t>的人员经费和日常管理开支，</w:t>
      </w:r>
      <w:r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资金使用规范，注重绩效，在资金管理上实行“收支”两条线，最大限度地提高资金的使用效益。全年“三公”经费合计</w:t>
      </w:r>
      <w:r w:rsidR="00B274B6"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0.13</w:t>
      </w:r>
      <w:r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万元，其中公务接待费</w:t>
      </w:r>
      <w:r w:rsidR="00B274B6"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0.13</w:t>
      </w:r>
      <w:r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万元，与上年同比</w:t>
      </w:r>
      <w:r w:rsidR="00B274B6"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下降346.15</w:t>
      </w:r>
      <w:r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 xml:space="preserve">%， </w:t>
      </w:r>
      <w:r w:rsidR="00B274B6"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“三公”经费、会议费、培训费开支严格按照县里相关文件要求执行</w:t>
      </w:r>
      <w:r w:rsidR="00F62004" w:rsidRPr="00424D09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（二）项目支出</w:t>
      </w:r>
    </w:p>
    <w:p w:rsidR="00033353" w:rsidRPr="00424D09" w:rsidRDefault="00B274B6" w:rsidP="00424D0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hint="eastAsia"/>
          <w:sz w:val="32"/>
          <w:szCs w:val="32"/>
        </w:rPr>
        <w:t>学校2020年度无项目支出情况。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二、部门整体支出绩效实现情况</w:t>
      </w:r>
    </w:p>
    <w:p w:rsidR="00033353" w:rsidRPr="00424D09" w:rsidRDefault="00F62004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仿宋_GB2312" w:hint="eastAsia"/>
          <w:sz w:val="32"/>
          <w:szCs w:val="32"/>
        </w:rPr>
        <w:t>本部门履职及履职效益良好。一是各项支出严格按照预算额度进行控制，努力节约经费；二是各项工作均能够按时完成，且质量较高；三是部门整体支出使用效果达到了预期。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三、部门整体支出绩效中存在问题及改进措施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（一）主要问题及原因分析</w:t>
      </w:r>
    </w:p>
    <w:p w:rsidR="00F62004" w:rsidRPr="00424D09" w:rsidRDefault="00F62004" w:rsidP="00F62004">
      <w:pPr>
        <w:spacing w:line="420" w:lineRule="exact"/>
        <w:ind w:firstLine="641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财政下拨单位部分经费不及时，资金使用较为被动，不利于各项工作的开展，尤其是</w:t>
      </w:r>
      <w:r w:rsidR="00B274B6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公用经费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资金。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（二）改进的方向和具体措施</w:t>
      </w:r>
    </w:p>
    <w:p w:rsidR="00F62004" w:rsidRPr="00424D09" w:rsidRDefault="00F62004" w:rsidP="00F62004">
      <w:pPr>
        <w:spacing w:line="420" w:lineRule="exact"/>
        <w:ind w:firstLine="641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建议县财政局及时下拨我单位经费，便于日常工作有序进行，更好地安排</w:t>
      </w:r>
      <w:r w:rsidR="00B274B6"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学校日常开支</w:t>
      </w:r>
      <w:r w:rsidRPr="00424D09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033353" w:rsidRPr="00424D09" w:rsidRDefault="00033353" w:rsidP="00424D09">
      <w:pPr>
        <w:spacing w:line="4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424D09">
        <w:rPr>
          <w:rFonts w:ascii="仿宋" w:eastAsia="仿宋" w:hAnsi="仿宋" w:cs="楷体" w:hint="eastAsia"/>
          <w:bCs/>
          <w:sz w:val="32"/>
          <w:szCs w:val="32"/>
        </w:rPr>
        <w:t>四、绩效自评结果拟应用和公开情况</w:t>
      </w:r>
    </w:p>
    <w:p w:rsidR="00033353" w:rsidRPr="00424D09" w:rsidRDefault="00F62004" w:rsidP="0087532D">
      <w:pPr>
        <w:spacing w:line="420" w:lineRule="exact"/>
        <w:ind w:firstLine="630"/>
        <w:rPr>
          <w:rFonts w:ascii="仿宋" w:eastAsia="仿宋" w:hAnsi="仿宋"/>
          <w:sz w:val="32"/>
          <w:szCs w:val="32"/>
        </w:rPr>
      </w:pPr>
      <w:r w:rsidRPr="00424D09">
        <w:rPr>
          <w:rFonts w:ascii="仿宋" w:eastAsia="仿宋" w:hAnsi="仿宋" w:cs="仿宋_GB2312" w:hint="eastAsia"/>
          <w:bCs/>
          <w:sz w:val="32"/>
          <w:szCs w:val="32"/>
        </w:rPr>
        <w:t>评价得分9</w:t>
      </w:r>
      <w:r w:rsidR="0087532D" w:rsidRPr="00424D09">
        <w:rPr>
          <w:rFonts w:ascii="仿宋" w:eastAsia="仿宋" w:hAnsi="仿宋" w:cs="仿宋_GB2312" w:hint="eastAsia"/>
          <w:bCs/>
          <w:sz w:val="32"/>
          <w:szCs w:val="32"/>
        </w:rPr>
        <w:t>6</w:t>
      </w:r>
      <w:r w:rsidRPr="00424D09">
        <w:rPr>
          <w:rFonts w:ascii="仿宋" w:eastAsia="仿宋" w:hAnsi="仿宋" w:cs="仿宋_GB2312" w:hint="eastAsia"/>
          <w:bCs/>
          <w:sz w:val="32"/>
          <w:szCs w:val="32"/>
        </w:rPr>
        <w:t>分，等级优。</w:t>
      </w:r>
    </w:p>
    <w:sectPr w:rsidR="00033353" w:rsidRPr="00424D09" w:rsidSect="00D4665F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9E" w:rsidRDefault="00270D9E">
      <w:r>
        <w:separator/>
      </w:r>
    </w:p>
  </w:endnote>
  <w:endnote w:type="continuationSeparator" w:id="1">
    <w:p w:rsidR="00270D9E" w:rsidRDefault="0027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9E" w:rsidRDefault="00270D9E">
      <w:r>
        <w:separator/>
      </w:r>
    </w:p>
  </w:footnote>
  <w:footnote w:type="continuationSeparator" w:id="1">
    <w:p w:rsidR="00270D9E" w:rsidRDefault="00270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88628"/>
    <w:multiLevelType w:val="singleLevel"/>
    <w:tmpl w:val="8EF886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783A41"/>
    <w:multiLevelType w:val="singleLevel"/>
    <w:tmpl w:val="59783A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B4"/>
    <w:rsid w:val="00005DEA"/>
    <w:rsid w:val="0001187B"/>
    <w:rsid w:val="00033353"/>
    <w:rsid w:val="000A1B3C"/>
    <w:rsid w:val="000C011A"/>
    <w:rsid w:val="000C2108"/>
    <w:rsid w:val="000C24C0"/>
    <w:rsid w:val="000D155C"/>
    <w:rsid w:val="0012257A"/>
    <w:rsid w:val="00153A42"/>
    <w:rsid w:val="00164539"/>
    <w:rsid w:val="00173AFF"/>
    <w:rsid w:val="00192178"/>
    <w:rsid w:val="001A14F1"/>
    <w:rsid w:val="001A5D51"/>
    <w:rsid w:val="001B4BB9"/>
    <w:rsid w:val="001D043D"/>
    <w:rsid w:val="001E7BC6"/>
    <w:rsid w:val="001F0733"/>
    <w:rsid w:val="001F4E56"/>
    <w:rsid w:val="002157A2"/>
    <w:rsid w:val="00254F8C"/>
    <w:rsid w:val="00270D9E"/>
    <w:rsid w:val="00271149"/>
    <w:rsid w:val="0027500B"/>
    <w:rsid w:val="00291F9E"/>
    <w:rsid w:val="0030753D"/>
    <w:rsid w:val="00326BC3"/>
    <w:rsid w:val="003276B8"/>
    <w:rsid w:val="003873A8"/>
    <w:rsid w:val="00397AF0"/>
    <w:rsid w:val="003B43F5"/>
    <w:rsid w:val="003B61A4"/>
    <w:rsid w:val="003C7CE8"/>
    <w:rsid w:val="003E2DDF"/>
    <w:rsid w:val="003E5E99"/>
    <w:rsid w:val="003F3A8D"/>
    <w:rsid w:val="003F3BB0"/>
    <w:rsid w:val="00400547"/>
    <w:rsid w:val="004023D4"/>
    <w:rsid w:val="00413126"/>
    <w:rsid w:val="00423621"/>
    <w:rsid w:val="00424D09"/>
    <w:rsid w:val="00432865"/>
    <w:rsid w:val="0044086F"/>
    <w:rsid w:val="00447343"/>
    <w:rsid w:val="00457CB2"/>
    <w:rsid w:val="00485F69"/>
    <w:rsid w:val="004D6428"/>
    <w:rsid w:val="005003E4"/>
    <w:rsid w:val="005321A9"/>
    <w:rsid w:val="005427C0"/>
    <w:rsid w:val="00544B53"/>
    <w:rsid w:val="00575063"/>
    <w:rsid w:val="00577CAD"/>
    <w:rsid w:val="005B4C9B"/>
    <w:rsid w:val="005C22E7"/>
    <w:rsid w:val="005C48B6"/>
    <w:rsid w:val="00605686"/>
    <w:rsid w:val="00610FD0"/>
    <w:rsid w:val="00631B3A"/>
    <w:rsid w:val="00631F22"/>
    <w:rsid w:val="00641283"/>
    <w:rsid w:val="00644046"/>
    <w:rsid w:val="00657A3C"/>
    <w:rsid w:val="00660B49"/>
    <w:rsid w:val="0066579D"/>
    <w:rsid w:val="00685FCB"/>
    <w:rsid w:val="00697FBC"/>
    <w:rsid w:val="006C3CB2"/>
    <w:rsid w:val="006D4B9F"/>
    <w:rsid w:val="00737FB2"/>
    <w:rsid w:val="00740ED5"/>
    <w:rsid w:val="00795D32"/>
    <w:rsid w:val="007F41D4"/>
    <w:rsid w:val="008031B0"/>
    <w:rsid w:val="00864A6E"/>
    <w:rsid w:val="00874244"/>
    <w:rsid w:val="0087532D"/>
    <w:rsid w:val="00890960"/>
    <w:rsid w:val="008A4120"/>
    <w:rsid w:val="008B5A5C"/>
    <w:rsid w:val="008C3618"/>
    <w:rsid w:val="008E59B1"/>
    <w:rsid w:val="008F5D33"/>
    <w:rsid w:val="00904FBA"/>
    <w:rsid w:val="0091357F"/>
    <w:rsid w:val="00952075"/>
    <w:rsid w:val="00957039"/>
    <w:rsid w:val="009C235C"/>
    <w:rsid w:val="009D6C0E"/>
    <w:rsid w:val="009F1600"/>
    <w:rsid w:val="009F61EA"/>
    <w:rsid w:val="00A318E0"/>
    <w:rsid w:val="00A34B0D"/>
    <w:rsid w:val="00A4544B"/>
    <w:rsid w:val="00A773D9"/>
    <w:rsid w:val="00A8467A"/>
    <w:rsid w:val="00AA0B9E"/>
    <w:rsid w:val="00AB2D19"/>
    <w:rsid w:val="00AB5AB7"/>
    <w:rsid w:val="00AC155E"/>
    <w:rsid w:val="00AC45EB"/>
    <w:rsid w:val="00AF68BD"/>
    <w:rsid w:val="00B13A63"/>
    <w:rsid w:val="00B1617D"/>
    <w:rsid w:val="00B25868"/>
    <w:rsid w:val="00B25EAE"/>
    <w:rsid w:val="00B274B6"/>
    <w:rsid w:val="00B72CDD"/>
    <w:rsid w:val="00B83BF7"/>
    <w:rsid w:val="00BB2456"/>
    <w:rsid w:val="00BB663F"/>
    <w:rsid w:val="00BE64C2"/>
    <w:rsid w:val="00C039FA"/>
    <w:rsid w:val="00C143CB"/>
    <w:rsid w:val="00C17A0F"/>
    <w:rsid w:val="00CD010D"/>
    <w:rsid w:val="00CF55D2"/>
    <w:rsid w:val="00D06564"/>
    <w:rsid w:val="00D4665F"/>
    <w:rsid w:val="00D51DB4"/>
    <w:rsid w:val="00D64C88"/>
    <w:rsid w:val="00D65408"/>
    <w:rsid w:val="00D74BC6"/>
    <w:rsid w:val="00DA0C68"/>
    <w:rsid w:val="00DD0334"/>
    <w:rsid w:val="00DF268F"/>
    <w:rsid w:val="00E278F2"/>
    <w:rsid w:val="00E45744"/>
    <w:rsid w:val="00E65F74"/>
    <w:rsid w:val="00E83B7C"/>
    <w:rsid w:val="00E919FE"/>
    <w:rsid w:val="00EB2EE0"/>
    <w:rsid w:val="00EB3144"/>
    <w:rsid w:val="00EB31EF"/>
    <w:rsid w:val="00EB3DB5"/>
    <w:rsid w:val="00F62004"/>
    <w:rsid w:val="00F9075F"/>
    <w:rsid w:val="00F95918"/>
    <w:rsid w:val="00FA3268"/>
    <w:rsid w:val="00FA36E9"/>
    <w:rsid w:val="00FE486D"/>
    <w:rsid w:val="00FE7D90"/>
    <w:rsid w:val="05B6135C"/>
    <w:rsid w:val="0D021A7D"/>
    <w:rsid w:val="0FAF02A7"/>
    <w:rsid w:val="180271E1"/>
    <w:rsid w:val="2234389F"/>
    <w:rsid w:val="2C735699"/>
    <w:rsid w:val="383545BB"/>
    <w:rsid w:val="41187497"/>
    <w:rsid w:val="465A3DA9"/>
    <w:rsid w:val="47FE7C97"/>
    <w:rsid w:val="58D973DD"/>
    <w:rsid w:val="61C962D9"/>
    <w:rsid w:val="632F06C8"/>
    <w:rsid w:val="6626486F"/>
    <w:rsid w:val="69171AF5"/>
    <w:rsid w:val="6982158C"/>
    <w:rsid w:val="69B712CE"/>
    <w:rsid w:val="6B821078"/>
    <w:rsid w:val="6CFD166B"/>
    <w:rsid w:val="6E325870"/>
    <w:rsid w:val="704B59F2"/>
    <w:rsid w:val="746852B3"/>
    <w:rsid w:val="798F55D5"/>
    <w:rsid w:val="7A77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D4665F"/>
    <w:rPr>
      <w:kern w:val="2"/>
      <w:sz w:val="18"/>
      <w:szCs w:val="18"/>
    </w:rPr>
  </w:style>
  <w:style w:type="paragraph" w:styleId="a4">
    <w:name w:val="header"/>
    <w:basedOn w:val="a"/>
    <w:link w:val="Char0"/>
    <w:rsid w:val="00D4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4665F"/>
    <w:rPr>
      <w:kern w:val="2"/>
      <w:sz w:val="18"/>
      <w:szCs w:val="18"/>
    </w:rPr>
  </w:style>
  <w:style w:type="paragraph" w:styleId="a5">
    <w:name w:val="Normal (Web)"/>
    <w:basedOn w:val="a"/>
    <w:rsid w:val="00D46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qFormat/>
    <w:rsid w:val="00D4665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7">
    <w:name w:val="办公自动化专用标题"/>
    <w:basedOn w:val="a6"/>
    <w:rsid w:val="00D4665F"/>
    <w:pPr>
      <w:spacing w:line="560" w:lineRule="atLeast"/>
    </w:pPr>
    <w:rPr>
      <w:rFonts w:ascii="宋体" w:cs="Times New Roman"/>
      <w:bCs w:val="0"/>
      <w:kern w:val="0"/>
      <w:sz w:val="44"/>
      <w:szCs w:val="20"/>
    </w:rPr>
  </w:style>
  <w:style w:type="character" w:customStyle="1" w:styleId="newss1">
    <w:name w:val="newss1"/>
    <w:qFormat/>
    <w:rsid w:val="0012257A"/>
    <w:rPr>
      <w:color w:val="000000"/>
      <w:sz w:val="21"/>
      <w:szCs w:val="21"/>
    </w:rPr>
  </w:style>
  <w:style w:type="paragraph" w:customStyle="1" w:styleId="ql-align-justify">
    <w:name w:val="ql-align-justify"/>
    <w:basedOn w:val="a"/>
    <w:rsid w:val="00605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410</Words>
  <Characters>2340</Characters>
  <Application>Microsoft Office Word</Application>
  <DocSecurity>0</DocSecurity>
  <Lines>19</Lines>
  <Paragraphs>5</Paragraphs>
  <ScaleCrop>false</ScaleCrop>
  <Company>微软中国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user</cp:lastModifiedBy>
  <cp:revision>15</cp:revision>
  <cp:lastPrinted>2017-06-28T08:06:00Z</cp:lastPrinted>
  <dcterms:created xsi:type="dcterms:W3CDTF">2022-04-01T08:55:00Z</dcterms:created>
  <dcterms:modified xsi:type="dcterms:W3CDTF">2022-04-07T03:04:00Z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0A3F3952C0D84DB3925ABD108AFA8444</vt:lpwstr>
  </property>
</Properties>
</file>