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全南县</w:t>
      </w:r>
      <w:r>
        <w:rPr>
          <w:rFonts w:hint="eastAsia" w:ascii="方正小标宋简体" w:hAnsi="仿宋" w:eastAsia="方正小标宋简体"/>
          <w:sz w:val="44"/>
          <w:szCs w:val="44"/>
          <w:lang w:eastAsia="zh-CN"/>
        </w:rPr>
        <w:t>龙源坝初级中学</w:t>
      </w:r>
      <w:r>
        <w:rPr>
          <w:rFonts w:hint="eastAsia" w:ascii="方正小标宋简体" w:hAnsi="仿宋" w:eastAsia="方正小标宋简体"/>
          <w:sz w:val="44"/>
          <w:szCs w:val="44"/>
        </w:rPr>
        <w:t>整体支出</w:t>
      </w:r>
    </w:p>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绩效自评报告</w:t>
      </w:r>
    </w:p>
    <w:p>
      <w:pPr>
        <w:spacing w:line="460" w:lineRule="exact"/>
        <w:jc w:val="center"/>
        <w:rPr>
          <w:rFonts w:ascii="仿宋" w:hAnsi="仿宋" w:eastAsia="仿宋"/>
          <w:sz w:val="32"/>
          <w:szCs w:val="32"/>
        </w:rPr>
      </w:pPr>
      <w:r>
        <w:rPr>
          <w:rFonts w:hint="eastAsia" w:ascii="仿宋" w:hAnsi="仿宋" w:eastAsia="仿宋"/>
          <w:sz w:val="32"/>
          <w:szCs w:val="32"/>
        </w:rPr>
        <w:t>（2020年）</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一、部门概况</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（一）部门基本情况。</w:t>
      </w:r>
    </w:p>
    <w:p>
      <w:pPr>
        <w:spacing w:line="420" w:lineRule="exact"/>
        <w:ind w:firstLine="630"/>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_GB2312"/>
          <w:sz w:val="32"/>
          <w:szCs w:val="32"/>
        </w:rPr>
        <w:t xml:space="preserve"> </w:t>
      </w:r>
      <w:r>
        <w:rPr>
          <w:rFonts w:hint="eastAsia" w:ascii="仿宋" w:hAnsi="仿宋" w:eastAsia="仿宋"/>
          <w:sz w:val="32"/>
          <w:szCs w:val="32"/>
        </w:rPr>
        <w:t>部门组织机构及人员</w:t>
      </w:r>
    </w:p>
    <w:p>
      <w:pPr>
        <w:keepNext w:val="0"/>
        <w:keepLines w:val="0"/>
        <w:pageBreakBefore w:val="0"/>
        <w:widowControl w:val="0"/>
        <w:kinsoku/>
        <w:wordWrap/>
        <w:overflowPunct/>
        <w:topLinePunct w:val="0"/>
        <w:autoSpaceDE/>
        <w:autoSpaceDN/>
        <w:bidi w:val="0"/>
        <w:adjustRightInd/>
        <w:snapToGrid/>
        <w:spacing w:line="560" w:lineRule="exact"/>
        <w:ind w:firstLine="629"/>
        <w:jc w:val="left"/>
        <w:textAlignment w:val="auto"/>
        <w:rPr>
          <w:rFonts w:hint="default" w:ascii="仿宋" w:hAnsi="仿宋" w:eastAsia="仿宋" w:cs="Times New Roman"/>
          <w:sz w:val="30"/>
          <w:szCs w:val="30"/>
          <w:lang w:val="en-US" w:eastAsia="zh-CN"/>
        </w:rPr>
      </w:pPr>
      <w:r>
        <w:rPr>
          <w:rFonts w:hint="eastAsia" w:ascii="仿宋" w:hAnsi="仿宋" w:eastAsia="仿宋" w:cs="仿宋_GB2312"/>
          <w:sz w:val="32"/>
          <w:szCs w:val="32"/>
          <w:lang w:eastAsia="zh-CN"/>
        </w:rPr>
        <w:t>龙源坝初级中学下设办公室、</w:t>
      </w:r>
      <w:r>
        <w:rPr>
          <w:rFonts w:hint="eastAsia" w:ascii="仿宋" w:hAnsi="仿宋" w:eastAsia="仿宋" w:cs="仿宋_GB2312"/>
          <w:sz w:val="32"/>
          <w:szCs w:val="32"/>
        </w:rPr>
        <w:t>教导处、总务处、政教处</w:t>
      </w:r>
      <w:r>
        <w:rPr>
          <w:rFonts w:hint="eastAsia" w:ascii="仿宋" w:hAnsi="仿宋" w:eastAsia="仿宋" w:cs="仿宋_GB2312"/>
          <w:sz w:val="32"/>
          <w:szCs w:val="32"/>
          <w:lang w:eastAsia="zh-CN"/>
        </w:rPr>
        <w:t>、电教处、团委等处室；共有七、八、九等三个年级，其中七年级有</w:t>
      </w:r>
      <w:r>
        <w:rPr>
          <w:rFonts w:hint="eastAsia" w:ascii="仿宋" w:hAnsi="仿宋" w:eastAsia="仿宋" w:cs="仿宋_GB2312"/>
          <w:sz w:val="32"/>
          <w:szCs w:val="32"/>
          <w:lang w:val="en-US" w:eastAsia="zh-CN"/>
        </w:rPr>
        <w:t>2个班，八年级有5个班，九年级有5个班。</w:t>
      </w:r>
    </w:p>
    <w:p>
      <w:pPr>
        <w:ind w:firstLine="630"/>
        <w:jc w:val="left"/>
        <w:rPr>
          <w:rFonts w:hint="eastAsia" w:ascii="仿宋" w:hAnsi="仿宋" w:eastAsia="仿宋"/>
          <w:sz w:val="32"/>
          <w:szCs w:val="32"/>
        </w:rPr>
      </w:pPr>
      <w:r>
        <w:rPr>
          <w:rFonts w:hint="eastAsia" w:ascii="仿宋" w:hAnsi="仿宋" w:eastAsia="仿宋"/>
          <w:sz w:val="32"/>
          <w:szCs w:val="32"/>
          <w:lang w:eastAsia="zh-CN"/>
        </w:rPr>
        <w:t>龙源坝初级中学</w:t>
      </w:r>
      <w:r>
        <w:rPr>
          <w:rFonts w:hint="eastAsia" w:ascii="仿宋" w:hAnsi="仿宋" w:eastAsia="仿宋"/>
          <w:sz w:val="32"/>
          <w:szCs w:val="32"/>
        </w:rPr>
        <w:t>2020年年末实有人数</w:t>
      </w:r>
      <w:r>
        <w:rPr>
          <w:rFonts w:hint="eastAsia" w:ascii="仿宋" w:hAnsi="仿宋" w:eastAsia="仿宋"/>
          <w:sz w:val="32"/>
          <w:szCs w:val="32"/>
          <w:lang w:val="en-US" w:eastAsia="zh-CN"/>
        </w:rPr>
        <w:t>54</w:t>
      </w:r>
      <w:r>
        <w:rPr>
          <w:rFonts w:hint="eastAsia" w:ascii="仿宋" w:hAnsi="仿宋" w:eastAsia="仿宋"/>
          <w:sz w:val="32"/>
          <w:szCs w:val="32"/>
        </w:rPr>
        <w:t>人，其中在职人员</w:t>
      </w:r>
      <w:r>
        <w:rPr>
          <w:rFonts w:hint="eastAsia" w:ascii="仿宋" w:hAnsi="仿宋" w:eastAsia="仿宋"/>
          <w:sz w:val="32"/>
          <w:szCs w:val="32"/>
          <w:lang w:val="en-US" w:eastAsia="zh-CN"/>
        </w:rPr>
        <w:t>39</w:t>
      </w:r>
      <w:r>
        <w:rPr>
          <w:rFonts w:hint="eastAsia" w:ascii="仿宋" w:hAnsi="仿宋" w:eastAsia="仿宋"/>
          <w:sz w:val="32"/>
          <w:szCs w:val="32"/>
        </w:rPr>
        <w:t>人，离休人员</w:t>
      </w:r>
      <w:r>
        <w:rPr>
          <w:rFonts w:hint="eastAsia" w:ascii="仿宋" w:hAnsi="仿宋" w:eastAsia="仿宋"/>
          <w:sz w:val="32"/>
          <w:szCs w:val="32"/>
          <w:lang w:val="en-US" w:eastAsia="zh-CN"/>
        </w:rPr>
        <w:t>0</w:t>
      </w:r>
      <w:r>
        <w:rPr>
          <w:rFonts w:hint="eastAsia" w:ascii="仿宋" w:hAnsi="仿宋" w:eastAsia="仿宋"/>
          <w:sz w:val="32"/>
          <w:szCs w:val="32"/>
        </w:rPr>
        <w:t>人，退休人员</w:t>
      </w:r>
      <w:r>
        <w:rPr>
          <w:rFonts w:hint="eastAsia" w:ascii="仿宋" w:hAnsi="仿宋" w:eastAsia="仿宋"/>
          <w:sz w:val="32"/>
          <w:szCs w:val="32"/>
          <w:lang w:val="en-US" w:eastAsia="zh-CN"/>
        </w:rPr>
        <w:t>7</w:t>
      </w:r>
      <w:r>
        <w:rPr>
          <w:rFonts w:hint="eastAsia" w:ascii="仿宋" w:hAnsi="仿宋" w:eastAsia="仿宋"/>
          <w:sz w:val="32"/>
          <w:szCs w:val="32"/>
        </w:rPr>
        <w:t>人；年末其他人员</w:t>
      </w:r>
      <w:r>
        <w:rPr>
          <w:rFonts w:hint="eastAsia" w:ascii="仿宋" w:hAnsi="仿宋" w:eastAsia="仿宋"/>
          <w:sz w:val="32"/>
          <w:szCs w:val="32"/>
          <w:lang w:val="en-US" w:eastAsia="zh-CN"/>
        </w:rPr>
        <w:t>8</w:t>
      </w:r>
      <w:r>
        <w:rPr>
          <w:rFonts w:hint="eastAsia" w:ascii="仿宋" w:hAnsi="仿宋" w:eastAsia="仿宋"/>
          <w:sz w:val="32"/>
          <w:szCs w:val="32"/>
        </w:rPr>
        <w:t>人；年末学生人数</w:t>
      </w:r>
      <w:r>
        <w:rPr>
          <w:rFonts w:hint="eastAsia" w:ascii="仿宋" w:hAnsi="仿宋" w:eastAsia="仿宋"/>
          <w:sz w:val="32"/>
          <w:szCs w:val="32"/>
          <w:lang w:val="en-US" w:eastAsia="zh-CN"/>
        </w:rPr>
        <w:t>519</w:t>
      </w:r>
      <w:r>
        <w:rPr>
          <w:rFonts w:hint="eastAsia" w:ascii="仿宋" w:hAnsi="仿宋" w:eastAsia="仿宋"/>
          <w:sz w:val="32"/>
          <w:szCs w:val="32"/>
        </w:rPr>
        <w:t>人。</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2.部门组织管理情况。</w:t>
      </w:r>
    </w:p>
    <w:p>
      <w:pPr>
        <w:spacing w:line="440" w:lineRule="exact"/>
        <w:ind w:left="600"/>
        <w:rPr>
          <w:rFonts w:ascii="仿宋" w:hAnsi="仿宋" w:eastAsia="仿宋"/>
          <w:sz w:val="32"/>
          <w:szCs w:val="32"/>
        </w:rPr>
      </w:pPr>
      <w:r>
        <w:rPr>
          <w:rFonts w:hint="eastAsia" w:ascii="仿宋" w:hAnsi="仿宋" w:eastAsia="仿宋"/>
          <w:sz w:val="32"/>
          <w:szCs w:val="32"/>
        </w:rPr>
        <w:t>1）日常管理</w:t>
      </w:r>
    </w:p>
    <w:p>
      <w:pPr>
        <w:spacing w:line="440" w:lineRule="exact"/>
        <w:ind w:firstLine="640"/>
        <w:rPr>
          <w:rFonts w:ascii="仿宋" w:hAnsi="仿宋" w:eastAsia="仿宋" w:cs="仿宋_GB2312"/>
          <w:sz w:val="32"/>
          <w:szCs w:val="32"/>
        </w:rPr>
      </w:pPr>
      <w:r>
        <w:rPr>
          <w:rFonts w:hint="eastAsia" w:ascii="仿宋" w:hAnsi="仿宋" w:eastAsia="仿宋" w:cs="仿宋_GB2312"/>
          <w:sz w:val="32"/>
          <w:szCs w:val="32"/>
        </w:rPr>
        <w:t>严格遵守作息制度，准时上、下班，不擅离职守，不做与工作无关的事；严格执行请销假制度，未办理请假手续而离岗按缺勤处理；严格执行</w:t>
      </w:r>
      <w:r>
        <w:rPr>
          <w:rFonts w:hint="eastAsia" w:ascii="仿宋" w:hAnsi="仿宋" w:eastAsia="仿宋" w:cs="仿宋_GB2312"/>
          <w:sz w:val="32"/>
          <w:szCs w:val="32"/>
          <w:lang w:eastAsia="zh-CN"/>
        </w:rPr>
        <w:t>巡课</w:t>
      </w:r>
      <w:r>
        <w:rPr>
          <w:rFonts w:hint="eastAsia" w:ascii="仿宋" w:hAnsi="仿宋" w:eastAsia="仿宋" w:cs="仿宋_GB2312"/>
          <w:sz w:val="32"/>
          <w:szCs w:val="32"/>
        </w:rPr>
        <w:t>制度，</w:t>
      </w:r>
      <w:r>
        <w:rPr>
          <w:rFonts w:hint="eastAsia" w:ascii="仿宋" w:hAnsi="仿宋" w:eastAsia="仿宋" w:cs="仿宋_GB2312"/>
          <w:sz w:val="32"/>
          <w:szCs w:val="32"/>
          <w:lang w:eastAsia="zh-CN"/>
        </w:rPr>
        <w:t>巡课</w:t>
      </w:r>
      <w:r>
        <w:rPr>
          <w:rFonts w:hint="eastAsia" w:ascii="仿宋" w:hAnsi="仿宋" w:eastAsia="仿宋" w:cs="仿宋_GB2312"/>
          <w:sz w:val="32"/>
          <w:szCs w:val="32"/>
        </w:rPr>
        <w:t>领导</w:t>
      </w:r>
      <w:r>
        <w:rPr>
          <w:rFonts w:hint="eastAsia" w:ascii="仿宋" w:hAnsi="仿宋" w:eastAsia="仿宋" w:cs="仿宋_GB2312"/>
          <w:sz w:val="32"/>
          <w:szCs w:val="32"/>
          <w:lang w:eastAsia="zh-CN"/>
        </w:rPr>
        <w:t>实行每天巡课制，对违反正常教育教学的行为进行通报</w:t>
      </w:r>
      <w:r>
        <w:rPr>
          <w:rFonts w:hint="eastAsia" w:ascii="仿宋" w:hAnsi="仿宋" w:eastAsia="仿宋" w:cs="仿宋_GB2312"/>
          <w:sz w:val="32"/>
          <w:szCs w:val="32"/>
        </w:rPr>
        <w:t>；严格执行会议签到制度，</w:t>
      </w:r>
      <w:r>
        <w:rPr>
          <w:rFonts w:hint="eastAsia" w:ascii="仿宋" w:hAnsi="仿宋" w:eastAsia="仿宋" w:cs="仿宋_GB2312"/>
          <w:sz w:val="32"/>
          <w:szCs w:val="32"/>
          <w:lang w:eastAsia="zh-CN"/>
        </w:rPr>
        <w:t>全体教职工</w:t>
      </w:r>
      <w:r>
        <w:rPr>
          <w:rFonts w:hint="eastAsia" w:ascii="仿宋" w:hAnsi="仿宋" w:eastAsia="仿宋" w:cs="仿宋_GB2312"/>
          <w:sz w:val="32"/>
          <w:szCs w:val="32"/>
        </w:rPr>
        <w:t>要准时参加</w:t>
      </w:r>
      <w:r>
        <w:rPr>
          <w:rFonts w:hint="eastAsia" w:ascii="仿宋" w:hAnsi="仿宋" w:eastAsia="仿宋" w:cs="仿宋_GB2312"/>
          <w:sz w:val="32"/>
          <w:szCs w:val="32"/>
          <w:lang w:eastAsia="zh-CN"/>
        </w:rPr>
        <w:t>学校</w:t>
      </w:r>
      <w:r>
        <w:rPr>
          <w:rFonts w:hint="eastAsia" w:ascii="仿宋" w:hAnsi="仿宋" w:eastAsia="仿宋" w:cs="仿宋_GB2312"/>
          <w:sz w:val="32"/>
          <w:szCs w:val="32"/>
        </w:rPr>
        <w:t>组织的各项会议，遵守会议纪律，做到不迟到早退等。</w:t>
      </w:r>
    </w:p>
    <w:p>
      <w:pPr>
        <w:spacing w:line="420" w:lineRule="exact"/>
        <w:ind w:left="600"/>
        <w:rPr>
          <w:rFonts w:ascii="仿宋" w:hAnsi="仿宋" w:eastAsia="仿宋"/>
          <w:sz w:val="32"/>
          <w:szCs w:val="32"/>
        </w:rPr>
      </w:pPr>
      <w:r>
        <w:rPr>
          <w:rFonts w:hint="eastAsia" w:ascii="仿宋" w:hAnsi="仿宋" w:eastAsia="仿宋"/>
          <w:sz w:val="32"/>
          <w:szCs w:val="32"/>
        </w:rPr>
        <w:t>2）财务管理</w:t>
      </w:r>
    </w:p>
    <w:p>
      <w:pPr>
        <w:spacing w:line="420" w:lineRule="exact"/>
        <w:ind w:firstLine="640"/>
        <w:rPr>
          <w:rFonts w:ascii="仿宋" w:hAnsi="仿宋" w:eastAsia="仿宋" w:cs="仿宋_GB2312"/>
          <w:sz w:val="32"/>
          <w:szCs w:val="32"/>
        </w:rPr>
      </w:pPr>
      <w:r>
        <w:rPr>
          <w:rFonts w:hint="eastAsia" w:ascii="仿宋" w:hAnsi="仿宋" w:eastAsia="仿宋" w:cs="仿宋_GB2312"/>
          <w:sz w:val="32"/>
          <w:szCs w:val="32"/>
        </w:rPr>
        <w:t>根据单位实际情况，合理编制预决算，</w:t>
      </w:r>
      <w:r>
        <w:rPr>
          <w:rFonts w:hint="eastAsia" w:ascii="仿宋" w:hAnsi="仿宋" w:eastAsia="仿宋" w:cs="宋体"/>
          <w:color w:val="000000"/>
          <w:spacing w:val="17"/>
          <w:kern w:val="0"/>
          <w:sz w:val="32"/>
          <w:szCs w:val="32"/>
        </w:rPr>
        <w:t>严格执行预算，</w:t>
      </w:r>
      <w:r>
        <w:rPr>
          <w:rFonts w:hint="eastAsia" w:ascii="仿宋" w:hAnsi="仿宋" w:eastAsia="仿宋"/>
          <w:sz w:val="32"/>
          <w:szCs w:val="32"/>
        </w:rPr>
        <w:t>无预算的不予报销</w:t>
      </w:r>
      <w:r>
        <w:rPr>
          <w:rFonts w:hint="eastAsia" w:ascii="仿宋" w:hAnsi="仿宋" w:eastAsia="仿宋" w:cs="仿宋_GB2312"/>
          <w:sz w:val="32"/>
          <w:szCs w:val="32"/>
        </w:rPr>
        <w:t>；</w:t>
      </w:r>
    </w:p>
    <w:p>
      <w:pPr>
        <w:spacing w:line="420" w:lineRule="exact"/>
        <w:ind w:firstLine="640"/>
        <w:rPr>
          <w:rFonts w:ascii="仿宋" w:hAnsi="仿宋" w:eastAsia="仿宋" w:cs="仿宋_GB2312"/>
          <w:color w:val="000000"/>
          <w:spacing w:val="17"/>
          <w:kern w:val="0"/>
          <w:sz w:val="32"/>
          <w:szCs w:val="32"/>
        </w:rPr>
      </w:pPr>
      <w:r>
        <w:rPr>
          <w:rFonts w:hint="eastAsia" w:ascii="仿宋" w:hAnsi="仿宋" w:eastAsia="仿宋" w:cs="仿宋_GB2312"/>
          <w:color w:val="000000"/>
          <w:spacing w:val="17"/>
          <w:kern w:val="0"/>
          <w:sz w:val="32"/>
          <w:szCs w:val="32"/>
        </w:rPr>
        <w:t>严格按照国家有关政策规定依法组织收入，各项收费严格执行国家规定的收费范围和标准，各项收入必须全部纳入预算，统一核算管理，实行“收支”两条线，不得坐收坐支，不得截留、挪用。</w:t>
      </w:r>
    </w:p>
    <w:p>
      <w:pPr>
        <w:spacing w:line="420" w:lineRule="exact"/>
        <w:ind w:firstLine="640"/>
        <w:rPr>
          <w:rFonts w:hint="eastAsia" w:ascii="仿宋" w:hAnsi="仿宋" w:eastAsia="仿宋" w:cs="仿宋_GB2312"/>
          <w:color w:val="000000"/>
          <w:spacing w:val="17"/>
          <w:kern w:val="0"/>
          <w:sz w:val="32"/>
          <w:szCs w:val="32"/>
        </w:rPr>
      </w:pPr>
      <w:r>
        <w:rPr>
          <w:rFonts w:hint="eastAsia" w:ascii="仿宋" w:hAnsi="仿宋" w:eastAsia="仿宋" w:cs="宋体"/>
          <w:color w:val="000000"/>
          <w:spacing w:val="17"/>
          <w:kern w:val="0"/>
          <w:sz w:val="32"/>
          <w:szCs w:val="32"/>
        </w:rPr>
        <w:t>各项支出应当严格执行国家有关财务规章制度规定的开支范围及标准，各</w:t>
      </w:r>
      <w:r>
        <w:rPr>
          <w:rFonts w:hint="eastAsia" w:ascii="仿宋" w:hAnsi="仿宋" w:eastAsia="仿宋" w:cs="仿宋_GB2312"/>
          <w:color w:val="000000"/>
          <w:spacing w:val="17"/>
          <w:kern w:val="0"/>
          <w:sz w:val="32"/>
          <w:szCs w:val="32"/>
        </w:rPr>
        <w:t>项支出费用合法合理，厉行节约，确保专款专用。严格支出审批程序，在资金使用审批上按照先审核后签字的原则，</w:t>
      </w:r>
      <w:r>
        <w:rPr>
          <w:rFonts w:hint="eastAsia" w:ascii="仿宋" w:hAnsi="仿宋" w:eastAsia="仿宋" w:cs="仿宋_GB2312"/>
          <w:color w:val="000000"/>
          <w:spacing w:val="17"/>
          <w:kern w:val="0"/>
          <w:sz w:val="32"/>
          <w:szCs w:val="32"/>
          <w:lang w:eastAsia="zh-CN"/>
        </w:rPr>
        <w:t>学校</w:t>
      </w:r>
      <w:r>
        <w:rPr>
          <w:rFonts w:hint="eastAsia" w:ascii="仿宋" w:hAnsi="仿宋" w:eastAsia="仿宋" w:cs="仿宋_GB2312"/>
          <w:color w:val="000000"/>
          <w:spacing w:val="17"/>
          <w:kern w:val="0"/>
          <w:sz w:val="32"/>
          <w:szCs w:val="32"/>
        </w:rPr>
        <w:t>报账由</w:t>
      </w:r>
      <w:r>
        <w:rPr>
          <w:rFonts w:hint="eastAsia" w:ascii="仿宋" w:hAnsi="仿宋" w:eastAsia="仿宋" w:cs="仿宋_GB2312"/>
          <w:color w:val="000000"/>
          <w:spacing w:val="17"/>
          <w:kern w:val="0"/>
          <w:sz w:val="32"/>
          <w:szCs w:val="32"/>
          <w:lang w:eastAsia="zh-CN"/>
        </w:rPr>
        <w:t>总务处</w:t>
      </w:r>
      <w:r>
        <w:rPr>
          <w:rFonts w:hint="eastAsia" w:ascii="仿宋" w:hAnsi="仿宋" w:eastAsia="仿宋" w:cs="仿宋_GB2312"/>
          <w:color w:val="000000"/>
          <w:spacing w:val="17"/>
          <w:kern w:val="0"/>
          <w:sz w:val="32"/>
          <w:szCs w:val="32"/>
        </w:rPr>
        <w:t>先行审核票据，合规票据交由</w:t>
      </w:r>
      <w:r>
        <w:rPr>
          <w:rFonts w:hint="eastAsia" w:ascii="仿宋" w:hAnsi="仿宋" w:eastAsia="仿宋" w:cs="仿宋_GB2312"/>
          <w:color w:val="000000"/>
          <w:spacing w:val="17"/>
          <w:kern w:val="0"/>
          <w:sz w:val="32"/>
          <w:szCs w:val="32"/>
          <w:lang w:eastAsia="zh-CN"/>
        </w:rPr>
        <w:t>分管财务副校长</w:t>
      </w:r>
      <w:r>
        <w:rPr>
          <w:rFonts w:hint="eastAsia" w:ascii="仿宋" w:hAnsi="仿宋" w:eastAsia="仿宋" w:cs="仿宋_GB2312"/>
          <w:color w:val="000000"/>
          <w:spacing w:val="17"/>
          <w:kern w:val="0"/>
          <w:sz w:val="32"/>
          <w:szCs w:val="32"/>
        </w:rPr>
        <w:t>审批，不合规票据退回</w:t>
      </w:r>
      <w:r>
        <w:rPr>
          <w:rFonts w:hint="eastAsia" w:ascii="仿宋" w:hAnsi="仿宋" w:eastAsia="仿宋" w:cs="仿宋_GB2312"/>
          <w:color w:val="000000"/>
          <w:spacing w:val="17"/>
          <w:kern w:val="0"/>
          <w:sz w:val="32"/>
          <w:szCs w:val="32"/>
          <w:lang w:eastAsia="zh-CN"/>
        </w:rPr>
        <w:t>各处室</w:t>
      </w:r>
      <w:r>
        <w:rPr>
          <w:rFonts w:hint="eastAsia" w:ascii="仿宋" w:hAnsi="仿宋" w:eastAsia="仿宋" w:cs="仿宋_GB2312"/>
          <w:color w:val="000000"/>
          <w:spacing w:val="17"/>
          <w:kern w:val="0"/>
          <w:sz w:val="32"/>
          <w:szCs w:val="32"/>
        </w:rPr>
        <w:t>，学校报账统一由</w:t>
      </w:r>
      <w:r>
        <w:rPr>
          <w:rFonts w:hint="eastAsia" w:ascii="仿宋" w:hAnsi="仿宋" w:eastAsia="仿宋" w:cs="仿宋_GB2312"/>
          <w:color w:val="000000"/>
          <w:spacing w:val="17"/>
          <w:kern w:val="0"/>
          <w:sz w:val="32"/>
          <w:szCs w:val="32"/>
          <w:lang w:eastAsia="zh-CN"/>
        </w:rPr>
        <w:t>教科体局</w:t>
      </w:r>
      <w:r>
        <w:rPr>
          <w:rFonts w:hint="eastAsia" w:ascii="仿宋" w:hAnsi="仿宋" w:eastAsia="仿宋" w:cs="仿宋_GB2312"/>
          <w:color w:val="000000"/>
          <w:spacing w:val="17"/>
          <w:kern w:val="0"/>
          <w:sz w:val="32"/>
          <w:szCs w:val="32"/>
        </w:rPr>
        <w:t>财务核算中心进行票据审核和资金支付。</w:t>
      </w:r>
    </w:p>
    <w:p>
      <w:pPr>
        <w:spacing w:line="420" w:lineRule="exact"/>
        <w:ind w:left="600"/>
        <w:rPr>
          <w:rFonts w:ascii="仿宋" w:hAnsi="仿宋" w:eastAsia="仿宋"/>
          <w:sz w:val="32"/>
          <w:szCs w:val="32"/>
        </w:rPr>
      </w:pPr>
      <w:r>
        <w:rPr>
          <w:rFonts w:hint="eastAsia" w:ascii="仿宋" w:hAnsi="仿宋" w:eastAsia="仿宋"/>
          <w:sz w:val="32"/>
          <w:szCs w:val="32"/>
        </w:rPr>
        <w:t>3）专项资金管理</w:t>
      </w:r>
    </w:p>
    <w:p>
      <w:pPr>
        <w:spacing w:line="420" w:lineRule="exact"/>
        <w:ind w:firstLine="640"/>
        <w:rPr>
          <w:rFonts w:hint="eastAsia" w:ascii="仿宋" w:hAnsi="仿宋" w:eastAsia="仿宋" w:cs="仿宋_GB2312"/>
          <w:color w:val="000000"/>
          <w:spacing w:val="17"/>
          <w:kern w:val="0"/>
          <w:sz w:val="32"/>
          <w:szCs w:val="32"/>
          <w:lang w:eastAsia="zh-CN"/>
        </w:rPr>
      </w:pPr>
      <w:r>
        <w:rPr>
          <w:rFonts w:hint="eastAsia" w:ascii="仿宋" w:hAnsi="仿宋" w:eastAsia="仿宋" w:cs="仿宋_GB2312"/>
          <w:color w:val="000000"/>
          <w:spacing w:val="17"/>
          <w:kern w:val="0"/>
          <w:sz w:val="32"/>
          <w:szCs w:val="32"/>
          <w:lang w:eastAsia="zh-CN"/>
        </w:rPr>
        <w:t>在专项资金的使用上，根据专项工作不同要求，合理分配专项资金使用，坚持专项资金使用的公开、透明。严格执行专款专用，不得随意更改资金用途，将资金挪作他用。</w:t>
      </w:r>
    </w:p>
    <w:p>
      <w:pPr>
        <w:spacing w:line="420" w:lineRule="exact"/>
        <w:ind w:left="600"/>
        <w:rPr>
          <w:rFonts w:ascii="仿宋" w:hAnsi="仿宋" w:eastAsia="仿宋"/>
          <w:sz w:val="32"/>
          <w:szCs w:val="32"/>
        </w:rPr>
      </w:pPr>
      <w:r>
        <w:rPr>
          <w:rFonts w:hint="eastAsia" w:ascii="仿宋" w:hAnsi="仿宋" w:eastAsia="仿宋"/>
          <w:sz w:val="32"/>
          <w:szCs w:val="32"/>
        </w:rPr>
        <w:t>4）资产管理</w:t>
      </w:r>
    </w:p>
    <w:p>
      <w:pPr>
        <w:spacing w:line="420" w:lineRule="exact"/>
        <w:rPr>
          <w:rFonts w:ascii="仿宋" w:hAnsi="仿宋" w:eastAsia="仿宋" w:cs="仿宋_GB2312"/>
          <w:sz w:val="32"/>
          <w:szCs w:val="32"/>
        </w:rPr>
      </w:pPr>
      <w:r>
        <w:rPr>
          <w:rFonts w:hint="eastAsia" w:ascii="仿宋" w:hAnsi="仿宋" w:eastAsia="仿宋"/>
          <w:sz w:val="32"/>
          <w:szCs w:val="32"/>
        </w:rPr>
        <w:t xml:space="preserve">    </w:t>
      </w:r>
      <w:r>
        <w:rPr>
          <w:rFonts w:hint="eastAsia" w:ascii="仿宋" w:hAnsi="仿宋" w:eastAsia="仿宋" w:cs="仿宋_GB2312"/>
          <w:sz w:val="32"/>
          <w:szCs w:val="32"/>
        </w:rPr>
        <w:t>固定资产指定专人管理，登记造册，建好卡片，形成电子档案。每年</w:t>
      </w:r>
      <w:r>
        <w:rPr>
          <w:rFonts w:hint="eastAsia" w:ascii="仿宋" w:hAnsi="仿宋" w:eastAsia="仿宋"/>
          <w:sz w:val="32"/>
          <w:szCs w:val="32"/>
        </w:rPr>
        <w:t>要定期进行固定资产清查，保证固定资产账实相符。对于固定资产的报废处理，要严格按照固定资产报废程序进行处理，残值收入要依据收入管理办法</w:t>
      </w:r>
      <w:r>
        <w:rPr>
          <w:rFonts w:hint="eastAsia" w:ascii="仿宋" w:hAnsi="仿宋" w:eastAsia="仿宋" w:cs="仿宋_GB2312"/>
          <w:color w:val="000000"/>
          <w:spacing w:val="17"/>
          <w:kern w:val="0"/>
          <w:sz w:val="32"/>
          <w:szCs w:val="32"/>
        </w:rPr>
        <w:t>纳入预算，统一核算管理。</w:t>
      </w:r>
    </w:p>
    <w:p>
      <w:pPr>
        <w:spacing w:line="420" w:lineRule="exact"/>
        <w:ind w:left="600"/>
        <w:rPr>
          <w:rFonts w:ascii="仿宋" w:hAnsi="仿宋" w:eastAsia="仿宋"/>
          <w:sz w:val="32"/>
          <w:szCs w:val="32"/>
        </w:rPr>
      </w:pPr>
      <w:r>
        <w:rPr>
          <w:rFonts w:hint="eastAsia" w:ascii="仿宋" w:hAnsi="仿宋" w:eastAsia="仿宋"/>
          <w:sz w:val="32"/>
          <w:szCs w:val="32"/>
        </w:rPr>
        <w:t>5）档案管理</w:t>
      </w:r>
    </w:p>
    <w:p>
      <w:pPr>
        <w:spacing w:line="460" w:lineRule="exact"/>
        <w:ind w:firstLine="640" w:firstLineChars="200"/>
        <w:rPr>
          <w:rFonts w:ascii="仿宋" w:hAnsi="仿宋" w:eastAsia="仿宋"/>
          <w:sz w:val="32"/>
          <w:szCs w:val="32"/>
        </w:rPr>
      </w:pPr>
      <w:r>
        <w:rPr>
          <w:rFonts w:hint="eastAsia" w:ascii="仿宋" w:hAnsi="仿宋" w:eastAsia="仿宋" w:cs="仿宋_GB2312"/>
          <w:sz w:val="32"/>
          <w:szCs w:val="32"/>
        </w:rPr>
        <w:t>人事档案由</w:t>
      </w:r>
      <w:r>
        <w:rPr>
          <w:rFonts w:hint="eastAsia" w:ascii="仿宋" w:hAnsi="仿宋" w:eastAsia="仿宋" w:cs="仿宋_GB2312"/>
          <w:sz w:val="32"/>
          <w:szCs w:val="32"/>
          <w:lang w:eastAsia="zh-CN"/>
        </w:rPr>
        <w:t>学校办公室</w:t>
      </w:r>
      <w:r>
        <w:rPr>
          <w:rFonts w:hint="eastAsia" w:ascii="仿宋" w:hAnsi="仿宋" w:eastAsia="仿宋" w:cs="仿宋_GB2312"/>
          <w:sz w:val="32"/>
          <w:szCs w:val="32"/>
        </w:rPr>
        <w:t>统一进行保管和管理，学校会计档案每年年底由</w:t>
      </w:r>
      <w:r>
        <w:rPr>
          <w:rFonts w:hint="eastAsia" w:ascii="仿宋" w:hAnsi="仿宋" w:eastAsia="仿宋" w:cs="仿宋_GB2312"/>
          <w:sz w:val="32"/>
          <w:szCs w:val="32"/>
          <w:lang w:eastAsia="zh-CN"/>
        </w:rPr>
        <w:t>教科体局</w:t>
      </w:r>
      <w:bookmarkStart w:id="0" w:name="_GoBack"/>
      <w:bookmarkEnd w:id="0"/>
      <w:r>
        <w:rPr>
          <w:rFonts w:hint="eastAsia" w:ascii="仿宋" w:hAnsi="仿宋" w:eastAsia="仿宋" w:cs="仿宋_GB2312"/>
          <w:sz w:val="32"/>
          <w:szCs w:val="32"/>
        </w:rPr>
        <w:t>财务核算中心移交给学校进行保管，</w:t>
      </w:r>
      <w:r>
        <w:rPr>
          <w:rFonts w:hint="eastAsia" w:ascii="仿宋" w:hAnsi="仿宋" w:eastAsia="仿宋" w:cs="仿宋_GB2312"/>
          <w:sz w:val="32"/>
          <w:szCs w:val="32"/>
          <w:lang w:eastAsia="zh-CN"/>
        </w:rPr>
        <w:t>学校</w:t>
      </w:r>
      <w:r>
        <w:rPr>
          <w:rFonts w:hint="eastAsia" w:ascii="仿宋" w:hAnsi="仿宋" w:eastAsia="仿宋" w:cs="仿宋_GB2312"/>
          <w:sz w:val="32"/>
          <w:szCs w:val="32"/>
        </w:rPr>
        <w:t>会计档案由</w:t>
      </w:r>
      <w:r>
        <w:rPr>
          <w:rFonts w:hint="eastAsia" w:ascii="仿宋" w:hAnsi="仿宋" w:eastAsia="仿宋" w:cs="仿宋_GB2312"/>
          <w:sz w:val="32"/>
          <w:szCs w:val="32"/>
          <w:lang w:eastAsia="zh-CN"/>
        </w:rPr>
        <w:t>学校总务处</w:t>
      </w:r>
      <w:r>
        <w:rPr>
          <w:rFonts w:hint="eastAsia" w:ascii="仿宋" w:hAnsi="仿宋" w:eastAsia="仿宋" w:cs="仿宋_GB2312"/>
          <w:sz w:val="32"/>
          <w:szCs w:val="32"/>
        </w:rPr>
        <w:t>进行管理。</w:t>
      </w:r>
    </w:p>
    <w:p>
      <w:pPr>
        <w:spacing w:line="460" w:lineRule="exact"/>
        <w:ind w:firstLine="643" w:firstLineChars="200"/>
        <w:rPr>
          <w:rFonts w:hint="default" w:ascii="仿宋" w:hAnsi="仿宋" w:eastAsia="仿宋" w:cs="楷体"/>
          <w:b/>
          <w:bCs/>
          <w:sz w:val="32"/>
          <w:szCs w:val="32"/>
          <w:lang w:val="en-US" w:eastAsia="zh-CN"/>
        </w:rPr>
      </w:pPr>
      <w:r>
        <w:rPr>
          <w:rFonts w:hint="eastAsia" w:ascii="仿宋" w:hAnsi="仿宋" w:eastAsia="仿宋" w:cs="楷体"/>
          <w:b/>
          <w:bCs/>
          <w:sz w:val="32"/>
          <w:szCs w:val="32"/>
        </w:rPr>
        <w:t>（二）当年部门履职情况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1.总体目标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贯彻党的教育方针，全面深化素质教育，坚持依法治教；促进教育公平和均衡发展；坚持科学决策，立足教育科研，确保完成教育教学任务，提高教育教学质量；营造舒适健康环境，打造幸福和谐校园；加强思想道德建设，“育人为本，德育为先”全方位、全环境育人，召开专题会研究，建制度，抓落实。</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rPr>
        <w:t>按照各级部门下发的文件及学校制订的相关《方案》、《制度》及《防控工作指引》等，实行一岗双责，进行三级督查，确保各级防控政策和学校制度全面有效落实，坚决打赢防控阻击战。</w:t>
      </w:r>
      <w:r>
        <w:rPr>
          <w:rFonts w:hint="eastAsia" w:ascii="仿宋" w:hAnsi="仿宋" w:eastAsia="仿宋"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_GB2312"/>
          <w:sz w:val="32"/>
          <w:szCs w:val="32"/>
          <w:lang w:val="en-US" w:eastAsia="zh-CN"/>
        </w:rPr>
      </w:pPr>
    </w:p>
    <w:p>
      <w:pPr>
        <w:spacing w:line="460" w:lineRule="exact"/>
        <w:ind w:firstLine="640" w:firstLineChars="200"/>
        <w:jc w:val="left"/>
        <w:rPr>
          <w:rFonts w:ascii="仿宋" w:hAnsi="仿宋" w:eastAsia="仿宋" w:cs="楷体"/>
          <w:b/>
          <w:bCs/>
          <w:sz w:val="32"/>
          <w:szCs w:val="32"/>
        </w:rPr>
      </w:pPr>
      <w:r>
        <w:rPr>
          <w:rFonts w:hint="eastAsia" w:ascii="仿宋" w:hAnsi="仿宋" w:eastAsia="仿宋" w:cs="仿宋_GB2312"/>
          <w:sz w:val="32"/>
          <w:szCs w:val="32"/>
          <w:lang w:val="en-US" w:eastAsia="zh-CN"/>
        </w:rPr>
        <w:t>2.</w:t>
      </w:r>
      <w:r>
        <w:rPr>
          <w:rFonts w:hint="eastAsia" w:ascii="仿宋" w:hAnsi="仿宋" w:eastAsia="仿宋"/>
          <w:sz w:val="32"/>
          <w:szCs w:val="32"/>
        </w:rPr>
        <w:t>工作任务</w:t>
      </w:r>
    </w:p>
    <w:p>
      <w:pPr>
        <w:spacing w:line="4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一年来，在</w:t>
      </w:r>
      <w:r>
        <w:rPr>
          <w:rFonts w:hint="eastAsia" w:ascii="仿宋" w:hAnsi="仿宋" w:eastAsia="仿宋"/>
          <w:sz w:val="32"/>
          <w:szCs w:val="32"/>
          <w:lang w:val="en-US" w:eastAsia="zh-CN"/>
        </w:rPr>
        <w:t>县教科体局</w:t>
      </w:r>
      <w:r>
        <w:rPr>
          <w:rFonts w:hint="eastAsia" w:ascii="仿宋" w:hAnsi="仿宋" w:eastAsia="仿宋"/>
          <w:sz w:val="32"/>
          <w:szCs w:val="32"/>
        </w:rPr>
        <w:t>的正确领导和大力支持下，</w:t>
      </w:r>
      <w:r>
        <w:rPr>
          <w:rFonts w:hint="eastAsia" w:ascii="仿宋" w:hAnsi="仿宋" w:eastAsia="仿宋"/>
          <w:sz w:val="32"/>
          <w:szCs w:val="32"/>
          <w:lang w:val="en-US" w:eastAsia="zh-CN"/>
        </w:rPr>
        <w:t>龙源坝初级中学</w:t>
      </w:r>
      <w:r>
        <w:rPr>
          <w:rFonts w:hint="eastAsia" w:ascii="仿宋" w:hAnsi="仿宋" w:eastAsia="仿宋"/>
          <w:sz w:val="32"/>
          <w:szCs w:val="32"/>
        </w:rPr>
        <w:t>全体教职员工坚持“以人为本、呵护生命”的办学理念，坚持“稳定、规范、精致、高效”的工作原则和“从严、从实、从细、从优”的工作方法，</w:t>
      </w:r>
      <w:r>
        <w:rPr>
          <w:rFonts w:hint="eastAsia" w:ascii="仿宋" w:hAnsi="仿宋" w:eastAsia="仿宋"/>
          <w:sz w:val="32"/>
          <w:szCs w:val="32"/>
          <w:lang w:eastAsia="zh-CN"/>
        </w:rPr>
        <w:t>以“新冠”疫情防控为重点，以“五热爱”主题教育活动为主线，</w:t>
      </w:r>
      <w:r>
        <w:rPr>
          <w:rFonts w:hint="eastAsia" w:ascii="仿宋" w:hAnsi="仿宋" w:eastAsia="仿宋"/>
          <w:sz w:val="32"/>
          <w:szCs w:val="32"/>
        </w:rPr>
        <w:t>充分发挥</w:t>
      </w:r>
      <w:r>
        <w:rPr>
          <w:rFonts w:hint="eastAsia" w:ascii="仿宋" w:hAnsi="仿宋" w:eastAsia="仿宋"/>
          <w:sz w:val="32"/>
          <w:szCs w:val="32"/>
          <w:lang w:val="en-US" w:eastAsia="zh-CN"/>
        </w:rPr>
        <w:t>党总支</w:t>
      </w:r>
      <w:r>
        <w:rPr>
          <w:rFonts w:hint="eastAsia" w:ascii="仿宋" w:hAnsi="仿宋" w:eastAsia="仿宋"/>
          <w:sz w:val="32"/>
          <w:szCs w:val="32"/>
        </w:rPr>
        <w:t>引领示范作用，坚持特色办学，强化廉政建设，改进工作作风，打造</w:t>
      </w:r>
      <w:r>
        <w:rPr>
          <w:rFonts w:hint="eastAsia" w:ascii="仿宋" w:hAnsi="仿宋" w:eastAsia="仿宋"/>
          <w:sz w:val="32"/>
          <w:szCs w:val="32"/>
          <w:lang w:val="en-US" w:eastAsia="zh-CN"/>
        </w:rPr>
        <w:t>教育</w:t>
      </w:r>
      <w:r>
        <w:rPr>
          <w:rFonts w:hint="eastAsia" w:ascii="仿宋" w:hAnsi="仿宋" w:eastAsia="仿宋"/>
          <w:sz w:val="32"/>
          <w:szCs w:val="32"/>
        </w:rPr>
        <w:t>品牌，努力做</w:t>
      </w:r>
      <w:r>
        <w:rPr>
          <w:rFonts w:hint="eastAsia" w:ascii="仿宋" w:hAnsi="仿宋" w:eastAsia="仿宋"/>
          <w:sz w:val="32"/>
          <w:szCs w:val="32"/>
          <w:lang w:val="en-US" w:eastAsia="zh-CN"/>
        </w:rPr>
        <w:t>实</w:t>
      </w:r>
      <w:r>
        <w:rPr>
          <w:rFonts w:hint="eastAsia" w:ascii="仿宋" w:hAnsi="仿宋" w:eastAsia="仿宋"/>
          <w:sz w:val="32"/>
          <w:szCs w:val="32"/>
        </w:rPr>
        <w:t>“有温度的教育”。</w:t>
      </w:r>
      <w:r>
        <w:rPr>
          <w:rFonts w:hint="eastAsia" w:ascii="仿宋" w:hAnsi="仿宋" w:eastAsia="仿宋"/>
          <w:sz w:val="32"/>
          <w:szCs w:val="32"/>
          <w:lang w:eastAsia="zh-CN"/>
        </w:rPr>
        <w:t>一是</w:t>
      </w:r>
      <w:r>
        <w:rPr>
          <w:rFonts w:hint="eastAsia" w:ascii="仿宋" w:hAnsi="仿宋" w:eastAsia="仿宋"/>
          <w:sz w:val="32"/>
          <w:szCs w:val="32"/>
          <w:lang w:val="en-US" w:eastAsia="zh-CN"/>
        </w:rPr>
        <w:t>强化校园防疫管理，全面做好疫情防控工作严格按照上级各部门防控要求扎实做好各项工作，构建完善的疫情防控工作体系，制定并完善了《龙源坝中学疫情防控工作方案》及《晨午检制度》，全体师生都按指引操作执行，各项防疫工作制度和方案、预案，责任到人。二是强化党建主体责任，实现党建与业务双促双提，加强顶层设计，活化教育形式，推动主题教育向纵深发展。学校党总支深入推进“不忘初心，牢记使命”主题教育活动，坚定理想信念、筑牢思想根基是基础，严格对标对表，加强整改落实，确实将主题教育活动落实落细。三是聚焦课堂教学，切实落实减负提质，“成长课堂”就是学校、教师、学生成长的课堂。一年来，学校以遵循“以人为本，呵护生命”的办学理念，进一步夯实“成长课堂”取得显著成效。加强科研培训，促进教师专业成长，一方面学校以教研组为单位开展“主题课例式校本研修”；另一方面学校根据教科体局的要求安排经费2.55万元，认真组织教师参加各级各类培训。</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（三）当年部门年度整体支出绩效目标。</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目标1：着力提升</w:t>
      </w:r>
      <w:r>
        <w:rPr>
          <w:rFonts w:hint="eastAsia" w:ascii="仿宋" w:hAnsi="仿宋" w:eastAsia="仿宋"/>
          <w:sz w:val="32"/>
          <w:szCs w:val="32"/>
          <w:lang w:eastAsia="zh-CN"/>
        </w:rPr>
        <w:t>我校</w:t>
      </w:r>
      <w:r>
        <w:rPr>
          <w:rFonts w:hint="eastAsia" w:ascii="仿宋" w:hAnsi="仿宋" w:eastAsia="仿宋"/>
          <w:sz w:val="32"/>
          <w:szCs w:val="32"/>
        </w:rPr>
        <w:t>日常管理水平，通过完善绩效考核、综合考评、教育教学奖励办法等制度和方案，加强管理。</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目标2：利用好师资培训经费，通过开展各项教师培训活动，加强教师队伍建设。</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目标3：大力推进</w:t>
      </w:r>
      <w:r>
        <w:rPr>
          <w:rFonts w:hint="eastAsia" w:ascii="仿宋" w:hAnsi="仿宋" w:eastAsia="仿宋"/>
          <w:sz w:val="32"/>
          <w:szCs w:val="32"/>
          <w:lang w:eastAsia="zh-CN"/>
        </w:rPr>
        <w:t>学校教师住宿周转房的</w:t>
      </w:r>
      <w:r>
        <w:rPr>
          <w:rFonts w:hint="eastAsia" w:ascii="仿宋" w:hAnsi="仿宋" w:eastAsia="仿宋"/>
          <w:sz w:val="32"/>
          <w:szCs w:val="32"/>
        </w:rPr>
        <w:t xml:space="preserve">建设。                                                           </w:t>
      </w:r>
    </w:p>
    <w:p>
      <w:pPr>
        <w:spacing w:line="460" w:lineRule="exact"/>
        <w:ind w:firstLine="640" w:firstLineChars="200"/>
        <w:jc w:val="left"/>
        <w:rPr>
          <w:rFonts w:ascii="仿宋" w:hAnsi="仿宋" w:eastAsia="仿宋" w:cs="楷体"/>
          <w:b/>
          <w:bCs/>
          <w:sz w:val="32"/>
          <w:szCs w:val="32"/>
        </w:rPr>
      </w:pPr>
      <w:r>
        <w:rPr>
          <w:rFonts w:hint="eastAsia" w:ascii="仿宋" w:hAnsi="仿宋" w:eastAsia="仿宋"/>
          <w:sz w:val="32"/>
          <w:szCs w:val="32"/>
        </w:rPr>
        <w:t>目标4：按照省市补助条件及要求，完成义务教育贫困寄宿生生活补助发放</w:t>
      </w:r>
      <w:r>
        <w:rPr>
          <w:rFonts w:hint="eastAsia" w:ascii="仿宋" w:hAnsi="仿宋" w:eastAsia="仿宋"/>
          <w:sz w:val="32"/>
          <w:szCs w:val="32"/>
          <w:lang w:eastAsia="zh-CN"/>
        </w:rPr>
        <w:t>工作</w:t>
      </w:r>
      <w:r>
        <w:rPr>
          <w:rFonts w:hint="eastAsia" w:ascii="仿宋" w:hAnsi="仿宋" w:eastAsia="仿宋"/>
          <w:sz w:val="32"/>
          <w:szCs w:val="32"/>
        </w:rPr>
        <w:t>。</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（四）部门预算绩效管理开展情况。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（五）当年部门预算及执行情况。</w:t>
      </w:r>
    </w:p>
    <w:p>
      <w:pPr>
        <w:spacing w:line="460" w:lineRule="exact"/>
        <w:ind w:firstLine="600" w:firstLineChars="200"/>
        <w:rPr>
          <w:rFonts w:ascii="仿宋" w:hAnsi="仿宋" w:eastAsia="仿宋"/>
          <w:sz w:val="32"/>
          <w:szCs w:val="32"/>
        </w:rPr>
      </w:pPr>
      <w:r>
        <w:rPr>
          <w:rFonts w:hint="eastAsia" w:ascii="仿宋" w:hAnsi="仿宋" w:eastAsia="仿宋"/>
          <w:sz w:val="30"/>
          <w:szCs w:val="30"/>
        </w:rPr>
        <w:t>本</w:t>
      </w:r>
      <w:r>
        <w:rPr>
          <w:rFonts w:hint="eastAsia" w:ascii="仿宋" w:hAnsi="仿宋" w:eastAsia="仿宋"/>
          <w:sz w:val="30"/>
          <w:szCs w:val="30"/>
          <w:lang w:eastAsia="zh-CN"/>
        </w:rPr>
        <w:t>单位</w:t>
      </w:r>
      <w:r>
        <w:rPr>
          <w:rFonts w:hint="eastAsia" w:ascii="仿宋" w:hAnsi="仿宋" w:eastAsia="仿宋"/>
          <w:sz w:val="30"/>
          <w:szCs w:val="30"/>
        </w:rPr>
        <w:t>2020年度一般公共预算财政拨款基本支出</w:t>
      </w:r>
      <w:r>
        <w:rPr>
          <w:rFonts w:hint="eastAsia" w:ascii="仿宋" w:hAnsi="仿宋" w:eastAsia="仿宋"/>
          <w:sz w:val="30"/>
          <w:szCs w:val="30"/>
          <w:lang w:val="en-US" w:eastAsia="zh-CN"/>
        </w:rPr>
        <w:t>421.49</w:t>
      </w:r>
      <w:r>
        <w:rPr>
          <w:rFonts w:hint="eastAsia" w:ascii="仿宋" w:hAnsi="仿宋" w:eastAsia="仿宋"/>
          <w:sz w:val="30"/>
          <w:szCs w:val="30"/>
        </w:rPr>
        <w:t>万元</w:t>
      </w:r>
      <w:r>
        <w:rPr>
          <w:rFonts w:hint="eastAsia" w:ascii="仿宋" w:hAnsi="仿宋" w:eastAsia="仿宋"/>
          <w:sz w:val="30"/>
          <w:szCs w:val="30"/>
          <w:lang w:eastAsia="zh-CN"/>
        </w:rPr>
        <w:t>，</w:t>
      </w:r>
      <w:r>
        <w:rPr>
          <w:rFonts w:hint="eastAsia" w:ascii="仿宋" w:hAnsi="仿宋" w:eastAsia="仿宋"/>
          <w:sz w:val="32"/>
          <w:szCs w:val="32"/>
        </w:rPr>
        <w:t>其中工资福利支出</w:t>
      </w:r>
      <w:r>
        <w:rPr>
          <w:rFonts w:hint="eastAsia" w:ascii="仿宋" w:hAnsi="仿宋" w:eastAsia="仿宋"/>
          <w:sz w:val="30"/>
          <w:szCs w:val="30"/>
          <w:lang w:val="en-US" w:eastAsia="zh-CN"/>
        </w:rPr>
        <w:t>347.9</w:t>
      </w:r>
      <w:r>
        <w:rPr>
          <w:rFonts w:hint="eastAsia" w:ascii="仿宋" w:hAnsi="仿宋" w:eastAsia="仿宋"/>
          <w:sz w:val="32"/>
          <w:szCs w:val="32"/>
        </w:rPr>
        <w:t>万元、商品和服务支出</w:t>
      </w:r>
      <w:r>
        <w:rPr>
          <w:rFonts w:hint="eastAsia" w:ascii="仿宋" w:hAnsi="仿宋" w:eastAsia="仿宋"/>
          <w:sz w:val="30"/>
          <w:szCs w:val="30"/>
          <w:lang w:val="en-US" w:eastAsia="zh-CN"/>
        </w:rPr>
        <w:t>33.35</w:t>
      </w:r>
      <w:r>
        <w:rPr>
          <w:rFonts w:hint="eastAsia" w:ascii="仿宋" w:hAnsi="仿宋" w:eastAsia="仿宋"/>
          <w:sz w:val="32"/>
          <w:szCs w:val="32"/>
        </w:rPr>
        <w:t>万元、对个人和家庭的补助支出</w:t>
      </w:r>
      <w:r>
        <w:rPr>
          <w:rFonts w:hint="eastAsia" w:ascii="仿宋" w:hAnsi="仿宋" w:eastAsia="仿宋"/>
          <w:sz w:val="30"/>
          <w:szCs w:val="30"/>
          <w:lang w:val="en-US" w:eastAsia="zh-CN"/>
        </w:rPr>
        <w:t>15.95</w:t>
      </w:r>
      <w:r>
        <w:rPr>
          <w:rFonts w:hint="eastAsia" w:ascii="仿宋" w:hAnsi="仿宋" w:eastAsia="仿宋"/>
          <w:sz w:val="32"/>
          <w:szCs w:val="32"/>
        </w:rPr>
        <w:t>万元、其他资本性支出</w:t>
      </w:r>
      <w:r>
        <w:rPr>
          <w:rFonts w:hint="eastAsia" w:ascii="仿宋" w:hAnsi="仿宋" w:eastAsia="仿宋"/>
          <w:sz w:val="30"/>
          <w:szCs w:val="30"/>
          <w:lang w:val="en-US" w:eastAsia="zh-CN"/>
        </w:rPr>
        <w:t>16.48</w:t>
      </w:r>
      <w:r>
        <w:rPr>
          <w:rFonts w:hint="eastAsia" w:ascii="仿宋" w:hAnsi="仿宋" w:eastAsia="仿宋"/>
          <w:sz w:val="32"/>
          <w:szCs w:val="32"/>
        </w:rPr>
        <w:t>万元；年底结余</w:t>
      </w:r>
      <w:r>
        <w:rPr>
          <w:rFonts w:hint="eastAsia" w:ascii="仿宋" w:hAnsi="仿宋" w:eastAsia="仿宋"/>
          <w:sz w:val="32"/>
          <w:szCs w:val="32"/>
          <w:lang w:val="en-US" w:eastAsia="zh-CN"/>
        </w:rPr>
        <w:t>7.81</w:t>
      </w:r>
      <w:r>
        <w:rPr>
          <w:rFonts w:hint="eastAsia" w:ascii="仿宋" w:hAnsi="仿宋" w:eastAsia="仿宋"/>
          <w:sz w:val="32"/>
          <w:szCs w:val="32"/>
        </w:rPr>
        <w:t>万元，其中基本支出结余</w:t>
      </w:r>
      <w:r>
        <w:rPr>
          <w:rFonts w:hint="eastAsia" w:ascii="仿宋" w:hAnsi="仿宋" w:eastAsia="仿宋"/>
          <w:sz w:val="32"/>
          <w:szCs w:val="32"/>
          <w:lang w:val="en-US" w:eastAsia="zh-CN"/>
        </w:rPr>
        <w:t>7.81</w:t>
      </w:r>
      <w:r>
        <w:rPr>
          <w:rFonts w:hint="eastAsia" w:ascii="仿宋" w:hAnsi="仿宋" w:eastAsia="仿宋"/>
          <w:sz w:val="32"/>
          <w:szCs w:val="32"/>
        </w:rPr>
        <w:t>万元、项目结余0万元。部门预算支出与决算的差异总额为</w:t>
      </w:r>
      <w:r>
        <w:rPr>
          <w:rFonts w:hint="eastAsia" w:ascii="仿宋" w:hAnsi="仿宋" w:eastAsia="仿宋"/>
          <w:sz w:val="32"/>
          <w:szCs w:val="32"/>
          <w:lang w:val="en-US" w:eastAsia="zh-CN"/>
        </w:rPr>
        <w:t>0</w:t>
      </w:r>
      <w:r>
        <w:rPr>
          <w:rFonts w:hint="eastAsia" w:ascii="仿宋" w:hAnsi="仿宋" w:eastAsia="仿宋"/>
          <w:sz w:val="32"/>
          <w:szCs w:val="32"/>
        </w:rPr>
        <w:t>万元，差异的具体情况及原因见下表：</w:t>
      </w:r>
    </w:p>
    <w:tbl>
      <w:tblPr>
        <w:tblStyle w:val="6"/>
        <w:tblW w:w="0" w:type="auto"/>
        <w:jc w:val="center"/>
        <w:tblLayout w:type="fixed"/>
        <w:tblCellMar>
          <w:top w:w="0" w:type="dxa"/>
          <w:left w:w="108" w:type="dxa"/>
          <w:bottom w:w="0" w:type="dxa"/>
          <w:right w:w="108" w:type="dxa"/>
        </w:tblCellMar>
      </w:tblPr>
      <w:tblGrid>
        <w:gridCol w:w="1960"/>
        <w:gridCol w:w="1501"/>
        <w:gridCol w:w="1440"/>
        <w:gridCol w:w="1500"/>
        <w:gridCol w:w="1395"/>
      </w:tblGrid>
      <w:tr>
        <w:tblPrEx>
          <w:tblCellMar>
            <w:top w:w="0" w:type="dxa"/>
            <w:left w:w="108" w:type="dxa"/>
            <w:bottom w:w="0" w:type="dxa"/>
            <w:right w:w="108" w:type="dxa"/>
          </w:tblCellMar>
        </w:tblPrEx>
        <w:trPr>
          <w:trHeight w:val="285" w:hRule="atLeast"/>
          <w:jc w:val="center"/>
        </w:trPr>
        <w:tc>
          <w:tcPr>
            <w:tcW w:w="7796" w:type="dxa"/>
            <w:gridSpan w:val="5"/>
            <w:tcBorders>
              <w:top w:val="nil"/>
              <w:left w:val="nil"/>
              <w:bottom w:val="nil"/>
              <w:right w:val="nil"/>
            </w:tcBorders>
            <w:vAlign w:val="bottom"/>
          </w:tcPr>
          <w:p>
            <w:pPr>
              <w:widowControl/>
              <w:spacing w:line="460" w:lineRule="exact"/>
              <w:jc w:val="center"/>
              <w:rPr>
                <w:rFonts w:ascii="仿宋" w:hAnsi="仿宋" w:eastAsia="仿宋" w:cs="宋体"/>
                <w:b/>
                <w:bCs/>
                <w:kern w:val="0"/>
                <w:sz w:val="32"/>
                <w:szCs w:val="32"/>
              </w:rPr>
            </w:pPr>
            <w:r>
              <w:rPr>
                <w:rFonts w:hint="eastAsia" w:ascii="仿宋" w:hAnsi="仿宋" w:eastAsia="仿宋" w:cs="宋体"/>
                <w:b/>
                <w:bCs/>
                <w:kern w:val="0"/>
                <w:sz w:val="32"/>
                <w:szCs w:val="32"/>
                <w:lang w:eastAsia="zh-CN"/>
              </w:rPr>
              <w:t>龙源坝初级中学</w:t>
            </w:r>
            <w:r>
              <w:rPr>
                <w:rFonts w:hint="eastAsia" w:ascii="仿宋" w:hAnsi="仿宋" w:eastAsia="仿宋" w:cs="宋体"/>
                <w:b/>
                <w:bCs/>
                <w:kern w:val="0"/>
                <w:sz w:val="32"/>
                <w:szCs w:val="32"/>
              </w:rPr>
              <w:t>2020年度预算执行总体情况</w:t>
            </w:r>
          </w:p>
        </w:tc>
      </w:tr>
      <w:tr>
        <w:tblPrEx>
          <w:tblCellMar>
            <w:top w:w="0" w:type="dxa"/>
            <w:left w:w="108" w:type="dxa"/>
            <w:bottom w:w="0" w:type="dxa"/>
            <w:right w:w="108" w:type="dxa"/>
          </w:tblCellMar>
        </w:tblPrEx>
        <w:trPr>
          <w:trHeight w:val="105" w:hRule="atLeast"/>
          <w:jc w:val="center"/>
        </w:trPr>
        <w:tc>
          <w:tcPr>
            <w:tcW w:w="196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1"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44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395" w:type="dxa"/>
            <w:tcBorders>
              <w:top w:val="nil"/>
              <w:left w:val="nil"/>
              <w:bottom w:val="nil"/>
              <w:right w:val="nil"/>
            </w:tcBorders>
            <w:vAlign w:val="bottom"/>
          </w:tcPr>
          <w:p>
            <w:pPr>
              <w:widowControl/>
              <w:spacing w:line="460" w:lineRule="exact"/>
              <w:jc w:val="left"/>
              <w:rPr>
                <w:rFonts w:ascii="仿宋" w:hAnsi="仿宋" w:eastAsia="仿宋" w:cs="仿宋"/>
                <w:kern w:val="0"/>
                <w:szCs w:val="21"/>
              </w:rPr>
            </w:pPr>
            <w:r>
              <w:rPr>
                <w:rFonts w:hint="eastAsia" w:ascii="仿宋" w:hAnsi="仿宋" w:eastAsia="仿宋" w:cs="仿宋"/>
                <w:kern w:val="0"/>
                <w:szCs w:val="21"/>
              </w:rPr>
              <w:t>单位：万元</w:t>
            </w:r>
          </w:p>
        </w:tc>
      </w:tr>
      <w:tr>
        <w:tblPrEx>
          <w:tblCellMar>
            <w:top w:w="0" w:type="dxa"/>
            <w:left w:w="108" w:type="dxa"/>
            <w:bottom w:w="0" w:type="dxa"/>
            <w:right w:w="108" w:type="dxa"/>
          </w:tblCellMar>
        </w:tblPrEx>
        <w:trPr>
          <w:trHeight w:val="330" w:hRule="atLeast"/>
          <w:jc w:val="center"/>
        </w:trPr>
        <w:tc>
          <w:tcPr>
            <w:tcW w:w="19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w:t>
            </w:r>
          </w:p>
        </w:tc>
        <w:tc>
          <w:tcPr>
            <w:tcW w:w="15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小计</w:t>
            </w:r>
          </w:p>
        </w:tc>
        <w:tc>
          <w:tcPr>
            <w:tcW w:w="2940" w:type="dxa"/>
            <w:gridSpan w:val="2"/>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其中基本支出</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项目支出</w:t>
            </w:r>
          </w:p>
        </w:tc>
      </w:tr>
      <w:tr>
        <w:tblPrEx>
          <w:tblCellMar>
            <w:top w:w="0" w:type="dxa"/>
            <w:left w:w="108" w:type="dxa"/>
            <w:bottom w:w="0" w:type="dxa"/>
            <w:right w:w="108" w:type="dxa"/>
          </w:tblCellMar>
        </w:tblPrEx>
        <w:trPr>
          <w:trHeight w:val="355" w:hRule="atLeast"/>
          <w:jc w:val="center"/>
        </w:trPr>
        <w:tc>
          <w:tcPr>
            <w:tcW w:w="19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仿宋" w:hAnsi="仿宋" w:eastAsia="仿宋" w:cs="仿宋"/>
                <w:kern w:val="0"/>
                <w:szCs w:val="21"/>
              </w:rPr>
            </w:pPr>
          </w:p>
        </w:tc>
        <w:tc>
          <w:tcPr>
            <w:tcW w:w="15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c>
          <w:tcPr>
            <w:tcW w:w="144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人员经费</w:t>
            </w:r>
          </w:p>
        </w:tc>
        <w:tc>
          <w:tcPr>
            <w:tcW w:w="150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公用经费</w:t>
            </w: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r>
      <w:tr>
        <w:tblPrEx>
          <w:tblCellMar>
            <w:top w:w="0" w:type="dxa"/>
            <w:left w:w="108" w:type="dxa"/>
            <w:bottom w:w="0" w:type="dxa"/>
            <w:right w:w="108" w:type="dxa"/>
          </w:tblCellMar>
        </w:tblPrEx>
        <w:trPr>
          <w:trHeight w:val="226"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421.49</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363.85</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49.83</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315"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决算数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421.49</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363.85</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49.83</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390"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预决算的差异数</w:t>
            </w:r>
          </w:p>
        </w:tc>
        <w:tc>
          <w:tcPr>
            <w:tcW w:w="1501"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395"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530" w:hRule="atLeast"/>
          <w:jc w:val="center"/>
        </w:trPr>
        <w:tc>
          <w:tcPr>
            <w:tcW w:w="7796" w:type="dxa"/>
            <w:gridSpan w:val="5"/>
            <w:tcBorders>
              <w:top w:val="single" w:color="auto" w:sz="4" w:space="0"/>
              <w:left w:val="single" w:color="auto" w:sz="4" w:space="0"/>
              <w:bottom w:val="single" w:color="auto" w:sz="4" w:space="0"/>
              <w:right w:val="single" w:color="auto" w:sz="4" w:space="0"/>
            </w:tcBorders>
          </w:tcPr>
          <w:p>
            <w:pPr>
              <w:widowControl/>
              <w:spacing w:line="460" w:lineRule="exact"/>
              <w:rPr>
                <w:rFonts w:ascii="仿宋" w:hAnsi="仿宋" w:eastAsia="仿宋" w:cs="仿宋"/>
                <w:kern w:val="0"/>
                <w:sz w:val="24"/>
              </w:rPr>
            </w:pPr>
            <w:r>
              <w:rPr>
                <w:rFonts w:hint="eastAsia" w:ascii="仿宋" w:hAnsi="仿宋" w:eastAsia="仿宋" w:cs="仿宋"/>
                <w:kern w:val="0"/>
                <w:sz w:val="24"/>
              </w:rPr>
              <w:t>差异原因主要是：（具体文字说明）</w:t>
            </w:r>
          </w:p>
        </w:tc>
      </w:tr>
    </w:tbl>
    <w:p>
      <w:pPr>
        <w:spacing w:line="460" w:lineRule="exact"/>
        <w:ind w:firstLine="643" w:firstLineChars="200"/>
        <w:rPr>
          <w:rFonts w:ascii="仿宋" w:hAnsi="仿宋" w:eastAsia="仿宋" w:cs="楷体"/>
          <w:b/>
          <w:bCs/>
          <w:sz w:val="32"/>
          <w:szCs w:val="32"/>
        </w:rPr>
      </w:pP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（一）基本支出</w:t>
      </w:r>
    </w:p>
    <w:p>
      <w:pPr>
        <w:spacing w:line="460" w:lineRule="exact"/>
        <w:ind w:firstLine="640" w:firstLineChars="200"/>
        <w:rPr>
          <w:rFonts w:ascii="仿宋" w:hAnsi="仿宋" w:eastAsia="仿宋"/>
          <w:sz w:val="32"/>
          <w:szCs w:val="32"/>
        </w:rPr>
      </w:pPr>
      <w:r>
        <w:rPr>
          <w:rFonts w:hint="eastAsia" w:ascii="仿宋" w:hAnsi="仿宋" w:eastAsia="仿宋" w:cs="仿宋_GB2312"/>
          <w:bCs/>
          <w:sz w:val="32"/>
          <w:szCs w:val="32"/>
        </w:rPr>
        <w:t>基本支出主要用于</w:t>
      </w:r>
      <w:r>
        <w:rPr>
          <w:rFonts w:hint="eastAsia" w:ascii="仿宋" w:hAnsi="仿宋" w:eastAsia="仿宋" w:cs="仿宋_GB2312"/>
          <w:bCs/>
          <w:sz w:val="32"/>
          <w:szCs w:val="32"/>
          <w:lang w:eastAsia="zh-CN"/>
        </w:rPr>
        <w:t>全南县龙源坝初级中学</w:t>
      </w:r>
      <w:r>
        <w:rPr>
          <w:rFonts w:hint="eastAsia" w:ascii="仿宋" w:hAnsi="仿宋" w:eastAsia="仿宋" w:cs="仿宋_GB2312"/>
          <w:bCs/>
          <w:sz w:val="32"/>
          <w:szCs w:val="32"/>
        </w:rPr>
        <w:t>的人员经费和日常</w:t>
      </w:r>
      <w:r>
        <w:rPr>
          <w:rFonts w:hint="eastAsia" w:ascii="仿宋" w:hAnsi="仿宋" w:eastAsia="仿宋" w:cs="仿宋_GB2312"/>
          <w:bCs/>
          <w:sz w:val="32"/>
          <w:szCs w:val="32"/>
          <w:lang w:eastAsia="zh-CN"/>
        </w:rPr>
        <w:t>办公</w:t>
      </w:r>
      <w:r>
        <w:rPr>
          <w:rFonts w:hint="eastAsia" w:ascii="仿宋" w:hAnsi="仿宋" w:eastAsia="仿宋" w:cs="仿宋_GB2312"/>
          <w:bCs/>
          <w:sz w:val="32"/>
          <w:szCs w:val="32"/>
        </w:rPr>
        <w:t>开支，</w:t>
      </w:r>
      <w:r>
        <w:rPr>
          <w:rFonts w:hint="eastAsia" w:ascii="仿宋" w:hAnsi="仿宋" w:eastAsia="仿宋" w:cs="仿宋_GB2312"/>
          <w:bCs/>
          <w:color w:val="333333"/>
          <w:sz w:val="32"/>
          <w:szCs w:val="32"/>
          <w:shd w:val="clear" w:color="auto" w:fill="FFFFFF"/>
        </w:rPr>
        <w:t>资金使用规范，注重绩效，在资金管理上实行“收支”两条线，最大限度地提高资金的使用效益。全年“三公”经费合计</w:t>
      </w:r>
      <w:r>
        <w:rPr>
          <w:rFonts w:hint="eastAsia" w:ascii="仿宋" w:hAnsi="仿宋" w:eastAsia="仿宋" w:cs="仿宋_GB2312"/>
          <w:bCs/>
          <w:color w:val="333333"/>
          <w:sz w:val="32"/>
          <w:szCs w:val="32"/>
          <w:shd w:val="clear" w:color="auto" w:fill="FFFFFF"/>
          <w:lang w:val="en-US" w:eastAsia="zh-CN"/>
        </w:rPr>
        <w:t>0.1</w:t>
      </w:r>
      <w:r>
        <w:rPr>
          <w:rFonts w:hint="eastAsia" w:ascii="仿宋" w:hAnsi="仿宋" w:eastAsia="仿宋" w:cs="仿宋_GB2312"/>
          <w:bCs/>
          <w:color w:val="333333"/>
          <w:sz w:val="32"/>
          <w:szCs w:val="32"/>
          <w:shd w:val="clear" w:color="auto" w:fill="FFFFFF"/>
        </w:rPr>
        <w:t>万元，其中公务接待费</w:t>
      </w:r>
      <w:r>
        <w:rPr>
          <w:rFonts w:hint="eastAsia" w:ascii="仿宋" w:hAnsi="仿宋" w:eastAsia="仿宋" w:cs="仿宋_GB2312"/>
          <w:bCs/>
          <w:color w:val="333333"/>
          <w:sz w:val="32"/>
          <w:szCs w:val="32"/>
          <w:shd w:val="clear" w:color="auto" w:fill="FFFFFF"/>
          <w:lang w:val="en-US" w:eastAsia="zh-CN"/>
        </w:rPr>
        <w:t>0.1</w:t>
      </w:r>
      <w:r>
        <w:rPr>
          <w:rFonts w:hint="eastAsia" w:ascii="仿宋" w:hAnsi="仿宋" w:eastAsia="仿宋" w:cs="仿宋_GB2312"/>
          <w:bCs/>
          <w:color w:val="333333"/>
          <w:sz w:val="32"/>
          <w:szCs w:val="32"/>
          <w:shd w:val="clear" w:color="auto" w:fill="FFFFFF"/>
        </w:rPr>
        <w:t>万元，与上年同比增加-</w:t>
      </w:r>
      <w:r>
        <w:rPr>
          <w:rFonts w:hint="eastAsia" w:ascii="仿宋" w:hAnsi="仿宋" w:eastAsia="仿宋"/>
          <w:sz w:val="30"/>
          <w:szCs w:val="30"/>
          <w:lang w:val="en-US" w:eastAsia="zh-CN"/>
        </w:rPr>
        <w:t>77.77</w:t>
      </w:r>
      <w:r>
        <w:rPr>
          <w:rFonts w:hint="eastAsia" w:ascii="仿宋" w:hAnsi="仿宋" w:eastAsia="仿宋" w:cs="仿宋_GB2312"/>
          <w:bCs/>
          <w:color w:val="333333"/>
          <w:sz w:val="32"/>
          <w:szCs w:val="32"/>
          <w:shd w:val="clear" w:color="auto" w:fill="FFFFFF"/>
        </w:rPr>
        <w:t>%， “三</w:t>
      </w:r>
      <w:r>
        <w:rPr>
          <w:rFonts w:hint="eastAsia" w:ascii="仿宋" w:hAnsi="仿宋" w:eastAsia="仿宋" w:cs="仿宋_GB2312"/>
          <w:bCs/>
          <w:color w:val="333333"/>
          <w:sz w:val="32"/>
          <w:szCs w:val="32"/>
          <w:shd w:val="clear" w:color="auto" w:fill="FFFFFF"/>
          <w:lang w:eastAsia="zh-CN"/>
        </w:rPr>
        <w:t>公</w:t>
      </w:r>
      <w:r>
        <w:rPr>
          <w:rFonts w:hint="eastAsia" w:ascii="仿宋" w:hAnsi="仿宋" w:eastAsia="仿宋" w:cs="仿宋_GB2312"/>
          <w:bCs/>
          <w:color w:val="333333"/>
          <w:sz w:val="32"/>
          <w:szCs w:val="32"/>
          <w:shd w:val="clear" w:color="auto" w:fill="FFFFFF"/>
        </w:rPr>
        <w:t>”经费、会议费、培训费开支严格按照县里相关文件要求执行。大力推进桃江新区学校建设和第三公办幼儿园建设。</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（二）项目支出</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1.项目资金管理情况分析。</w:t>
      </w:r>
      <w:r>
        <w:rPr>
          <w:rFonts w:hint="eastAsia" w:ascii="仿宋" w:hAnsi="仿宋" w:eastAsia="仿宋" w:cs="仿宋_GB2312"/>
          <w:sz w:val="32"/>
          <w:szCs w:val="32"/>
        </w:rPr>
        <w:t>全南县教育局针对不同用途的项目资金，制定了不同的项目资金管理办法，如校建工程类、寄宿生补助等，不同的项目资金由不同的股室具体负责，严格按照项目资金管理办法执行，由县财政局对各项目资金的使用进行监管，资金拨付有完整的审批程序和手续，</w:t>
      </w:r>
      <w:r>
        <w:rPr>
          <w:rFonts w:hint="eastAsia" w:ascii="仿宋" w:hAnsi="仿宋" w:eastAsia="仿宋" w:cs="仿宋_GB2312"/>
          <w:color w:val="333333"/>
          <w:sz w:val="32"/>
          <w:szCs w:val="32"/>
          <w:shd w:val="clear" w:color="auto" w:fill="FFFFFF"/>
        </w:rPr>
        <w:t>专项资金没有被挪用、挤占，全部按进度支付到位。</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二、部门整体支出绩效实现情况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本部门履职及履职效益良好。一是各项支出严格按照预算额度进行控制，努力节约经费；二是各项工作均能够按时完成，且质量较高；三是部门整体支出使用效果达到了预期。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三、部门整体支出绩效中存在问题及改进措施</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（一）主要问题及原因分析</w:t>
      </w:r>
    </w:p>
    <w:p>
      <w:pPr>
        <w:spacing w:line="460" w:lineRule="exact"/>
        <w:ind w:firstLine="640" w:firstLineChars="200"/>
        <w:rPr>
          <w:rFonts w:hint="eastAsia"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 xml:space="preserve"> 2020年，我校办学工作取得了一定成绩，与此同时我们也清醒地认识到了问题和不足。干事创业的氛围还需要进一步营造，党员的先锋模范带头作用还有待进一步加强，学校办学质量还需进一步提升，教师队伍的建设还需进一步规范，德育工作的实效性和品牌化有待进一步提升。如何把握好新时代的机遇，最大限度的挖掘每一个学生的发展潜力，更好的为每一个学生创造主动发展的无限空间，是我们全校教职员工需要深入思考的问题。</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（二）改进的方向和具体措施</w:t>
      </w:r>
    </w:p>
    <w:p>
      <w:pPr>
        <w:spacing w:line="460" w:lineRule="exact"/>
        <w:ind w:firstLine="640" w:firstLineChars="200"/>
        <w:rPr>
          <w:rFonts w:hint="eastAsia"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为预防范预算业务活动的相关风险，使预算更加规范、科学、准确，主要从两个方面努力：一是更加科学编制年初预算。有部分专项资金年初预算没有根据实际安排足，在实际执行的时候需要追加。预算编报时可以更加完善，根据学校工作计划，更加科学合理的安排教育预算。二是进一步严格预算执行管理。确保义务教育资金能用得科学、用得规范、用出效益。我们将努力创新工作方法，强化落实措施，奋发有为，努力推进各项工作再上新台阶。</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四、绩效自评结果拟应用和公开情况</w:t>
      </w:r>
    </w:p>
    <w:p>
      <w:pPr>
        <w:spacing w:line="420" w:lineRule="exact"/>
        <w:ind w:firstLine="630"/>
        <w:rPr>
          <w:rFonts w:ascii="仿宋" w:hAnsi="仿宋" w:eastAsia="仿宋"/>
          <w:b/>
          <w:sz w:val="32"/>
          <w:szCs w:val="32"/>
        </w:rPr>
      </w:pPr>
      <w:r>
        <w:rPr>
          <w:rFonts w:hint="eastAsia" w:ascii="仿宋" w:hAnsi="仿宋" w:eastAsia="仿宋" w:cs="仿宋_GB2312"/>
          <w:bCs/>
          <w:sz w:val="32"/>
          <w:szCs w:val="32"/>
        </w:rPr>
        <w:t>评价得分9</w:t>
      </w:r>
      <w:r>
        <w:rPr>
          <w:rFonts w:hint="eastAsia" w:ascii="仿宋" w:hAnsi="仿宋" w:eastAsia="仿宋" w:cs="仿宋_GB2312"/>
          <w:bCs/>
          <w:sz w:val="32"/>
          <w:szCs w:val="32"/>
          <w:lang w:val="en-US" w:eastAsia="zh-CN"/>
        </w:rPr>
        <w:t>2</w:t>
      </w:r>
      <w:r>
        <w:rPr>
          <w:rFonts w:hint="eastAsia" w:ascii="仿宋" w:hAnsi="仿宋" w:eastAsia="仿宋" w:cs="仿宋_GB2312"/>
          <w:bCs/>
          <w:sz w:val="32"/>
          <w:szCs w:val="32"/>
        </w:rPr>
        <w:t>分，等级优。</w:t>
      </w:r>
    </w:p>
    <w:p>
      <w:pPr>
        <w:spacing w:line="460" w:lineRule="exact"/>
        <w:ind w:firstLine="643" w:firstLineChars="200"/>
        <w:rPr>
          <w:rFonts w:ascii="楷体" w:hAnsi="楷体" w:eastAsia="楷体" w:cs="楷体"/>
          <w:b/>
          <w:bCs/>
          <w:sz w:val="32"/>
          <w:szCs w:val="32"/>
        </w:rPr>
      </w:pPr>
    </w:p>
    <w:p>
      <w:pPr>
        <w:spacing w:line="460" w:lineRule="exact"/>
        <w:ind w:firstLine="643" w:firstLineChars="200"/>
        <w:rPr>
          <w:rFonts w:ascii="楷体" w:hAnsi="楷体" w:eastAsia="楷体" w:cs="楷体"/>
          <w:b/>
          <w:bCs/>
          <w:sz w:val="32"/>
          <w:szCs w:val="32"/>
        </w:rPr>
      </w:pPr>
    </w:p>
    <w:p>
      <w:pPr>
        <w:spacing w:line="460" w:lineRule="exact"/>
        <w:ind w:firstLine="640" w:firstLineChars="200"/>
        <w:rPr>
          <w:rFonts w:ascii="仿宋_GB2312" w:hAnsi="仿宋" w:eastAsia="仿宋_GB2312"/>
          <w:sz w:val="32"/>
          <w:szCs w:val="32"/>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1DB4"/>
    <w:rsid w:val="00005DEA"/>
    <w:rsid w:val="00033353"/>
    <w:rsid w:val="000A1B3C"/>
    <w:rsid w:val="000C011A"/>
    <w:rsid w:val="000C2108"/>
    <w:rsid w:val="000D155C"/>
    <w:rsid w:val="0012257A"/>
    <w:rsid w:val="00153A42"/>
    <w:rsid w:val="00164539"/>
    <w:rsid w:val="00173AFF"/>
    <w:rsid w:val="00192178"/>
    <w:rsid w:val="001A5D51"/>
    <w:rsid w:val="001B4BB9"/>
    <w:rsid w:val="001D043D"/>
    <w:rsid w:val="001F0733"/>
    <w:rsid w:val="002157A2"/>
    <w:rsid w:val="00271149"/>
    <w:rsid w:val="0027500B"/>
    <w:rsid w:val="00291F9E"/>
    <w:rsid w:val="0030753D"/>
    <w:rsid w:val="00326BC3"/>
    <w:rsid w:val="003276B8"/>
    <w:rsid w:val="003873A8"/>
    <w:rsid w:val="00397AF0"/>
    <w:rsid w:val="003B43F5"/>
    <w:rsid w:val="003B61A4"/>
    <w:rsid w:val="003C7CE8"/>
    <w:rsid w:val="003E2DDF"/>
    <w:rsid w:val="003E5E99"/>
    <w:rsid w:val="003F3BB0"/>
    <w:rsid w:val="00400547"/>
    <w:rsid w:val="004023D4"/>
    <w:rsid w:val="00413126"/>
    <w:rsid w:val="00423621"/>
    <w:rsid w:val="00432865"/>
    <w:rsid w:val="0044086F"/>
    <w:rsid w:val="00447343"/>
    <w:rsid w:val="00457CB2"/>
    <w:rsid w:val="00485F69"/>
    <w:rsid w:val="004D6428"/>
    <w:rsid w:val="005321A9"/>
    <w:rsid w:val="005427C0"/>
    <w:rsid w:val="00544B53"/>
    <w:rsid w:val="00575063"/>
    <w:rsid w:val="00577CAD"/>
    <w:rsid w:val="005B4C9B"/>
    <w:rsid w:val="005C22E7"/>
    <w:rsid w:val="005C48B6"/>
    <w:rsid w:val="00610FD0"/>
    <w:rsid w:val="00631B3A"/>
    <w:rsid w:val="00631F22"/>
    <w:rsid w:val="00641283"/>
    <w:rsid w:val="00644046"/>
    <w:rsid w:val="00657A3C"/>
    <w:rsid w:val="00660B49"/>
    <w:rsid w:val="0066579D"/>
    <w:rsid w:val="00685FCB"/>
    <w:rsid w:val="00697FBC"/>
    <w:rsid w:val="006C3CB2"/>
    <w:rsid w:val="006D4B9F"/>
    <w:rsid w:val="00737FB2"/>
    <w:rsid w:val="00740ED5"/>
    <w:rsid w:val="00795D32"/>
    <w:rsid w:val="007F41D4"/>
    <w:rsid w:val="008031B0"/>
    <w:rsid w:val="00864A6E"/>
    <w:rsid w:val="00874244"/>
    <w:rsid w:val="00890960"/>
    <w:rsid w:val="008A4120"/>
    <w:rsid w:val="008B5A5C"/>
    <w:rsid w:val="008C3618"/>
    <w:rsid w:val="008E59B1"/>
    <w:rsid w:val="008F5D33"/>
    <w:rsid w:val="00904FBA"/>
    <w:rsid w:val="00952075"/>
    <w:rsid w:val="00957039"/>
    <w:rsid w:val="009D6C0E"/>
    <w:rsid w:val="009F61EA"/>
    <w:rsid w:val="00A318E0"/>
    <w:rsid w:val="00A34B0D"/>
    <w:rsid w:val="00A4544B"/>
    <w:rsid w:val="00A8467A"/>
    <w:rsid w:val="00AA0B9E"/>
    <w:rsid w:val="00AB2D19"/>
    <w:rsid w:val="00AB5AB7"/>
    <w:rsid w:val="00AC155E"/>
    <w:rsid w:val="00AC45EB"/>
    <w:rsid w:val="00AF68BD"/>
    <w:rsid w:val="00B13A63"/>
    <w:rsid w:val="00B25868"/>
    <w:rsid w:val="00B25EAE"/>
    <w:rsid w:val="00B72CDD"/>
    <w:rsid w:val="00B83BF7"/>
    <w:rsid w:val="00BB2456"/>
    <w:rsid w:val="00BB663F"/>
    <w:rsid w:val="00BE64C2"/>
    <w:rsid w:val="00C039FA"/>
    <w:rsid w:val="00C143CB"/>
    <w:rsid w:val="00C17A0F"/>
    <w:rsid w:val="00CD010D"/>
    <w:rsid w:val="00D06564"/>
    <w:rsid w:val="00D4665F"/>
    <w:rsid w:val="00D51DB4"/>
    <w:rsid w:val="00D64C88"/>
    <w:rsid w:val="00D65408"/>
    <w:rsid w:val="00D74BC6"/>
    <w:rsid w:val="00DA0C68"/>
    <w:rsid w:val="00DD0334"/>
    <w:rsid w:val="00DF268F"/>
    <w:rsid w:val="00E278F2"/>
    <w:rsid w:val="00E45744"/>
    <w:rsid w:val="00E65F74"/>
    <w:rsid w:val="00E83B7C"/>
    <w:rsid w:val="00E919FE"/>
    <w:rsid w:val="00EB2EE0"/>
    <w:rsid w:val="00EB3144"/>
    <w:rsid w:val="00EB31EF"/>
    <w:rsid w:val="00EB3DB5"/>
    <w:rsid w:val="00F62004"/>
    <w:rsid w:val="00F9075F"/>
    <w:rsid w:val="00F95918"/>
    <w:rsid w:val="00FA36E9"/>
    <w:rsid w:val="00FE486D"/>
    <w:rsid w:val="00FE7D90"/>
    <w:rsid w:val="059F0596"/>
    <w:rsid w:val="05B6135C"/>
    <w:rsid w:val="05CC64B2"/>
    <w:rsid w:val="0D021A7D"/>
    <w:rsid w:val="0FAF02A7"/>
    <w:rsid w:val="180271E1"/>
    <w:rsid w:val="2234389F"/>
    <w:rsid w:val="2B2C5696"/>
    <w:rsid w:val="2B343FEF"/>
    <w:rsid w:val="2C735699"/>
    <w:rsid w:val="33E62DED"/>
    <w:rsid w:val="383545BB"/>
    <w:rsid w:val="41187497"/>
    <w:rsid w:val="465A3DA9"/>
    <w:rsid w:val="47FE7C97"/>
    <w:rsid w:val="48D051F7"/>
    <w:rsid w:val="58D973DD"/>
    <w:rsid w:val="61C962D9"/>
    <w:rsid w:val="632F06C8"/>
    <w:rsid w:val="6626486F"/>
    <w:rsid w:val="69171AF5"/>
    <w:rsid w:val="6982158C"/>
    <w:rsid w:val="69B712CE"/>
    <w:rsid w:val="6B821078"/>
    <w:rsid w:val="6CFD166B"/>
    <w:rsid w:val="6E325870"/>
    <w:rsid w:val="704B59F2"/>
    <w:rsid w:val="746852B3"/>
    <w:rsid w:val="75F92980"/>
    <w:rsid w:val="798F55D5"/>
    <w:rsid w:val="7A776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Title"/>
    <w:basedOn w:val="1"/>
    <w:qFormat/>
    <w:uiPriority w:val="0"/>
    <w:pPr>
      <w:spacing w:before="240" w:after="60"/>
      <w:jc w:val="center"/>
      <w:outlineLvl w:val="0"/>
    </w:pPr>
    <w:rPr>
      <w:rFonts w:ascii="Arial" w:hAnsi="Arial" w:cs="Arial"/>
      <w:b/>
      <w:bCs/>
      <w:sz w:val="32"/>
      <w:szCs w:val="32"/>
    </w:rPr>
  </w:style>
  <w:style w:type="character" w:customStyle="1" w:styleId="8">
    <w:name w:val="页脚 Char"/>
    <w:link w:val="2"/>
    <w:qFormat/>
    <w:uiPriority w:val="0"/>
    <w:rPr>
      <w:kern w:val="2"/>
      <w:sz w:val="18"/>
      <w:szCs w:val="18"/>
    </w:rPr>
  </w:style>
  <w:style w:type="character" w:customStyle="1" w:styleId="9">
    <w:name w:val="页眉 Char"/>
    <w:link w:val="3"/>
    <w:uiPriority w:val="0"/>
    <w:rPr>
      <w:kern w:val="2"/>
      <w:sz w:val="18"/>
      <w:szCs w:val="18"/>
    </w:rPr>
  </w:style>
  <w:style w:type="paragraph" w:customStyle="1" w:styleId="10">
    <w:name w:val="办公自动化专用标题"/>
    <w:basedOn w:val="5"/>
    <w:qFormat/>
    <w:uiPriority w:val="0"/>
    <w:pPr>
      <w:spacing w:line="560" w:lineRule="atLeast"/>
    </w:pPr>
    <w:rPr>
      <w:rFonts w:ascii="宋体" w:cs="Times New Roman"/>
      <w:bCs w:val="0"/>
      <w:kern w:val="0"/>
      <w:sz w:val="44"/>
      <w:szCs w:val="20"/>
    </w:rPr>
  </w:style>
  <w:style w:type="character" w:customStyle="1" w:styleId="11">
    <w:name w:val="newss1"/>
    <w:qFormat/>
    <w:uiPriority w:val="0"/>
    <w:rPr>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3066</Words>
  <Characters>3159</Characters>
  <Lines>22</Lines>
  <Paragraphs>6</Paragraphs>
  <TotalTime>57</TotalTime>
  <ScaleCrop>false</ScaleCrop>
  <LinksUpToDate>false</LinksUpToDate>
  <CharactersWithSpaces>3249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2022-04-01T08:55:00Z</dcterms:created>
  <dc:creator>Administrator</dc:creator>
  <cp:lastModifiedBy>Administrator</cp:lastModifiedBy>
  <cp:lastPrinted>2017-06-28T08:06:00Z</cp:lastPrinted>
  <dcterms:modified xsi:type="dcterms:W3CDTF">2022-04-07T01:39:08Z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0A3F3952C0D84DB3925ABD108AFA8444</vt:lpwstr>
  </property>
</Properties>
</file>