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全南县</w:t>
      </w:r>
      <w:r>
        <w:rPr>
          <w:rFonts w:hint="eastAsia" w:ascii="方正小标宋简体" w:hAnsi="仿宋" w:eastAsia="方正小标宋简体"/>
          <w:sz w:val="44"/>
          <w:szCs w:val="44"/>
          <w:lang w:val="en-US" w:eastAsia="zh-CN"/>
        </w:rPr>
        <w:t>小慕中心学校</w:t>
      </w:r>
      <w:r>
        <w:rPr>
          <w:rFonts w:hint="eastAsia" w:ascii="方正小标宋简体" w:hAnsi="仿宋" w:eastAsia="方正小标宋简体"/>
          <w:sz w:val="44"/>
          <w:szCs w:val="44"/>
        </w:rPr>
        <w:t>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440" w:lineRule="exact"/>
        <w:ind w:firstLine="63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keepNext w:val="0"/>
        <w:keepLines w:val="0"/>
        <w:pageBreakBefore w:val="0"/>
        <w:widowControl w:val="0"/>
        <w:kinsoku/>
        <w:wordWrap/>
        <w:overflowPunct/>
        <w:topLinePunct w:val="0"/>
        <w:autoSpaceDE/>
        <w:autoSpaceDN/>
        <w:bidi w:val="0"/>
        <w:adjustRightInd/>
        <w:snapToGrid/>
        <w:spacing w:line="440" w:lineRule="exact"/>
        <w:ind w:firstLine="630"/>
        <w:jc w:val="left"/>
        <w:textAlignment w:val="auto"/>
        <w:rPr>
          <w:rFonts w:hint="eastAsia" w:ascii="仿宋" w:hAnsi="仿宋" w:eastAsia="仿宋"/>
          <w:sz w:val="30"/>
          <w:szCs w:val="30"/>
          <w:lang w:val="en-US" w:eastAsia="zh-CN"/>
        </w:rPr>
      </w:pPr>
      <w:r>
        <w:rPr>
          <w:rFonts w:hint="eastAsia" w:ascii="仿宋" w:hAnsi="仿宋" w:eastAsia="仿宋"/>
          <w:sz w:val="30"/>
          <w:szCs w:val="30"/>
          <w:lang w:val="en-US" w:eastAsia="zh-CN"/>
        </w:rPr>
        <w:t>全南县小慕中心学校，包含小慕小学、</w:t>
      </w:r>
      <w:bookmarkStart w:id="0" w:name="_GoBack"/>
      <w:bookmarkEnd w:id="0"/>
      <w:r>
        <w:rPr>
          <w:rFonts w:hint="eastAsia" w:ascii="仿宋" w:hAnsi="仿宋" w:eastAsia="仿宋"/>
          <w:sz w:val="30"/>
          <w:szCs w:val="30"/>
          <w:lang w:val="en-US" w:eastAsia="zh-CN"/>
        </w:rPr>
        <w:t>涂屋教学点，内部机构设有教导处、总务处。开设有1-6年级，共有7个教学班，学生21人。</w:t>
      </w:r>
    </w:p>
    <w:p>
      <w:pPr>
        <w:keepNext w:val="0"/>
        <w:keepLines w:val="0"/>
        <w:pageBreakBefore w:val="0"/>
        <w:widowControl w:val="0"/>
        <w:kinsoku/>
        <w:wordWrap/>
        <w:overflowPunct/>
        <w:topLinePunct w:val="0"/>
        <w:autoSpaceDE/>
        <w:autoSpaceDN/>
        <w:bidi w:val="0"/>
        <w:adjustRightInd/>
        <w:snapToGrid/>
        <w:spacing w:line="440" w:lineRule="exact"/>
        <w:ind w:firstLine="630"/>
        <w:jc w:val="left"/>
        <w:textAlignment w:val="auto"/>
        <w:rPr>
          <w:rFonts w:hint="eastAsia" w:ascii="仿宋" w:hAnsi="仿宋" w:eastAsia="仿宋"/>
          <w:sz w:val="30"/>
          <w:szCs w:val="30"/>
        </w:rPr>
      </w:pPr>
      <w:r>
        <w:rPr>
          <w:rFonts w:hint="eastAsia" w:ascii="仿宋" w:hAnsi="仿宋" w:eastAsia="仿宋"/>
          <w:sz w:val="30"/>
          <w:szCs w:val="30"/>
        </w:rPr>
        <w:t>本校</w:t>
      </w:r>
      <w:r>
        <w:rPr>
          <w:rFonts w:hint="eastAsia" w:ascii="仿宋" w:hAnsi="仿宋" w:eastAsia="仿宋"/>
          <w:sz w:val="30"/>
          <w:szCs w:val="30"/>
          <w:lang w:val="en-US" w:eastAsia="zh-CN"/>
        </w:rPr>
        <w:t>编制人数12</w:t>
      </w:r>
      <w:r>
        <w:rPr>
          <w:rFonts w:hint="eastAsia" w:ascii="仿宋" w:hAnsi="仿宋" w:eastAsia="仿宋"/>
          <w:sz w:val="30"/>
          <w:szCs w:val="30"/>
        </w:rPr>
        <w:t>人，在职人员12人</w:t>
      </w:r>
      <w:r>
        <w:rPr>
          <w:rFonts w:hint="eastAsia" w:ascii="仿宋" w:hAnsi="仿宋" w:eastAsia="仿宋"/>
          <w:sz w:val="30"/>
          <w:szCs w:val="30"/>
          <w:lang w:val="en-US" w:eastAsia="zh-CN"/>
        </w:rPr>
        <w:t>；</w:t>
      </w:r>
      <w:r>
        <w:rPr>
          <w:rFonts w:hint="eastAsia" w:ascii="仿宋" w:hAnsi="仿宋" w:eastAsia="仿宋"/>
          <w:sz w:val="30"/>
          <w:szCs w:val="30"/>
        </w:rPr>
        <w:t>离休人员0人</w:t>
      </w:r>
      <w:r>
        <w:rPr>
          <w:rFonts w:hint="eastAsia" w:ascii="仿宋" w:hAnsi="仿宋" w:eastAsia="仿宋"/>
          <w:sz w:val="30"/>
          <w:szCs w:val="30"/>
          <w:lang w:val="en-US" w:eastAsia="zh-CN"/>
        </w:rPr>
        <w:t>；</w:t>
      </w:r>
      <w:r>
        <w:rPr>
          <w:rFonts w:hint="eastAsia" w:ascii="仿宋" w:hAnsi="仿宋" w:eastAsia="仿宋"/>
          <w:sz w:val="30"/>
          <w:szCs w:val="30"/>
        </w:rPr>
        <w:t>退休人员35人；其他人员14人。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rPr>
        <w:t>1）日常管理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严格执行挂点制度，挂点局领导和干部对挂点学校工作的督查实行领导负责制；严格执行会议签到制度，局领导干部要准时参加局里组织的各项会议，遵守会议纪律，做到不迟到早退等。</w:t>
      </w:r>
    </w:p>
    <w:p>
      <w:pPr>
        <w:spacing w:line="420" w:lineRule="exact"/>
        <w:ind w:left="600"/>
        <w:rPr>
          <w:rFonts w:ascii="仿宋" w:hAnsi="仿宋" w:eastAsia="仿宋"/>
          <w:sz w:val="32"/>
          <w:szCs w:val="32"/>
        </w:rPr>
      </w:pPr>
      <w:r>
        <w:rPr>
          <w:rFonts w:hint="eastAsia" w:ascii="仿宋" w:hAnsi="仿宋" w:eastAsia="仿宋"/>
          <w:sz w:val="32"/>
          <w:szCs w:val="32"/>
        </w:rPr>
        <w:t>2）财务管理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ascii="仿宋" w:hAnsi="仿宋" w:eastAsia="仿宋" w:cs="仿宋_GB2312"/>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w:t>
      </w:r>
      <w:r>
        <w:rPr>
          <w:rFonts w:hint="eastAsia" w:ascii="仿宋" w:hAnsi="仿宋" w:eastAsia="仿宋" w:cs="仿宋_GB2312"/>
          <w:color w:val="333333"/>
          <w:sz w:val="32"/>
          <w:szCs w:val="32"/>
          <w:shd w:val="clear" w:color="auto" w:fill="FFFFFF"/>
        </w:rPr>
        <w:t>在资金使用审批上按照先审核后签字的原则，报账统一到县</w:t>
      </w:r>
      <w:r>
        <w:rPr>
          <w:rFonts w:hint="eastAsia" w:ascii="仿宋" w:hAnsi="仿宋" w:eastAsia="仿宋" w:cs="仿宋_GB2312"/>
          <w:color w:val="333333"/>
          <w:sz w:val="32"/>
          <w:szCs w:val="32"/>
          <w:shd w:val="clear" w:color="auto" w:fill="FFFFFF"/>
          <w:lang w:val="en-US" w:eastAsia="zh-CN"/>
        </w:rPr>
        <w:t>教科体局核算</w:t>
      </w:r>
      <w:r>
        <w:rPr>
          <w:rFonts w:hint="eastAsia" w:ascii="仿宋" w:hAnsi="仿宋" w:eastAsia="仿宋" w:cs="仿宋_GB2312"/>
          <w:color w:val="333333"/>
          <w:sz w:val="32"/>
          <w:szCs w:val="32"/>
          <w:shd w:val="clear" w:color="auto" w:fill="FFFFFF"/>
        </w:rPr>
        <w:t>中心进行处理。</w:t>
      </w:r>
    </w:p>
    <w:p>
      <w:pPr>
        <w:spacing w:line="420" w:lineRule="exact"/>
        <w:ind w:left="600"/>
        <w:rPr>
          <w:rFonts w:ascii="仿宋" w:hAnsi="仿宋" w:eastAsia="仿宋"/>
          <w:sz w:val="32"/>
          <w:szCs w:val="32"/>
        </w:rPr>
      </w:pPr>
      <w:r>
        <w:rPr>
          <w:rFonts w:hint="eastAsia" w:ascii="仿宋" w:hAnsi="仿宋" w:eastAsia="仿宋"/>
          <w:sz w:val="32"/>
          <w:szCs w:val="32"/>
        </w:rPr>
        <w:t>3）专项资金管理</w:t>
      </w:r>
    </w:p>
    <w:p>
      <w:pPr>
        <w:spacing w:line="420" w:lineRule="exact"/>
        <w:ind w:firstLine="645"/>
        <w:rPr>
          <w:rFonts w:ascii="仿宋" w:hAnsi="仿宋" w:eastAsia="仿宋"/>
          <w:sz w:val="32"/>
          <w:szCs w:val="32"/>
        </w:rPr>
      </w:pPr>
      <w:r>
        <w:rPr>
          <w:rFonts w:hint="eastAsia" w:ascii="仿宋" w:hAnsi="仿宋" w:eastAsia="仿宋" w:cs="仿宋_GB2312"/>
          <w:color w:val="333333"/>
          <w:sz w:val="32"/>
          <w:szCs w:val="32"/>
          <w:shd w:val="clear" w:color="auto" w:fill="FFFFFF"/>
        </w:rPr>
        <w:t>在专项资金的使用上，根据专项工作不同要求，合理分配专项资金使用，坚持专项资金使用的公开、透明。严格执行专款专用，不得随意更改资金用途，将资金挪作他用。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rPr>
        <w:t>4）资产管理</w:t>
      </w:r>
    </w:p>
    <w:p>
      <w:pPr>
        <w:spacing w:line="420" w:lineRule="exact"/>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要定期进行固定资产清查，保证固定资产账实相符。对于固定资产的报废处理，要严格按照固定资产报废程序进行处理，残值收入要依据收入管理办法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rPr>
        <w:t>5）档案管理</w:t>
      </w:r>
    </w:p>
    <w:p>
      <w:pPr>
        <w:spacing w:line="460" w:lineRule="exact"/>
        <w:ind w:firstLine="640" w:firstLineChars="200"/>
        <w:rPr>
          <w:rFonts w:hint="eastAsia" w:ascii="仿宋" w:hAnsi="仿宋" w:eastAsia="仿宋"/>
          <w:sz w:val="32"/>
          <w:szCs w:val="32"/>
          <w:lang w:eastAsia="zh-CN"/>
        </w:rPr>
      </w:pPr>
      <w:r>
        <w:rPr>
          <w:rFonts w:hint="eastAsia" w:ascii="仿宋" w:hAnsi="仿宋" w:eastAsia="仿宋" w:cs="仿宋_GB2312"/>
          <w:sz w:val="32"/>
          <w:szCs w:val="32"/>
        </w:rPr>
        <w:t>人事档案由机关人秘股和档案室统一进行保管和管理，学校会计档案每年年底由局财务核算中心移交给学校进行保管</w:t>
      </w:r>
      <w:r>
        <w:rPr>
          <w:rFonts w:hint="eastAsia" w:ascii="仿宋" w:hAnsi="仿宋" w:eastAsia="仿宋" w:cs="仿宋_GB2312"/>
          <w:sz w:val="32"/>
          <w:szCs w:val="32"/>
          <w:lang w:eastAsia="zh-CN"/>
        </w:rPr>
        <w:t>。</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贯彻执行党和国家的教育科技体育工作的方针、政策、法律和有关教育行政法规。负责组织落实全县教育科技体育各项工作。承办县委、县政府交办的其他有关工作。</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2.工作任务</w:t>
      </w:r>
    </w:p>
    <w:p>
      <w:pPr>
        <w:adjustRightInd w:val="0"/>
        <w:snapToGrid w:val="0"/>
        <w:spacing w:line="420" w:lineRule="exact"/>
        <w:ind w:firstLine="641"/>
        <w:rPr>
          <w:rFonts w:ascii="仿宋" w:hAnsi="仿宋" w:eastAsia="仿宋" w:cs="仿宋_GB2312"/>
          <w:color w:val="000000"/>
          <w:sz w:val="32"/>
          <w:szCs w:val="32"/>
        </w:rPr>
      </w:pPr>
      <w:r>
        <w:rPr>
          <w:rFonts w:hint="eastAsia" w:ascii="仿宋" w:hAnsi="仿宋" w:eastAsia="仿宋" w:cs="仿宋_GB2312"/>
          <w:color w:val="000000"/>
          <w:sz w:val="32"/>
          <w:szCs w:val="32"/>
        </w:rPr>
        <w:t>在县委、县政府的正确领导及市教育、科技、体育主管部门大力支持下，我局团结带领教育系统全体干部职工，按照“重塑教育新形象的目标，突出义务教育均衡发展的重点，提升教学教研及学校管理水平，推进校建工程、师资队伍、平安校园三项建设”的思路，锐意进取，扎实工作，各项工作取得了一定成效。</w:t>
      </w:r>
    </w:p>
    <w:p>
      <w:pPr>
        <w:adjustRightInd w:val="0"/>
        <w:snapToGrid w:val="0"/>
        <w:ind w:firstLine="640" w:firstLineChars="200"/>
        <w:rPr>
          <w:rFonts w:ascii="仿宋" w:hAnsi="仿宋" w:eastAsia="仿宋" w:cs="仿宋_GB2312"/>
          <w:sz w:val="32"/>
          <w:szCs w:val="32"/>
        </w:rPr>
      </w:pPr>
      <w:r>
        <w:rPr>
          <w:rFonts w:hint="eastAsia" w:ascii="仿宋" w:hAnsi="仿宋" w:eastAsia="仿宋"/>
          <w:sz w:val="32"/>
          <w:szCs w:val="32"/>
        </w:rPr>
        <w:t>积极加强师资队伍建设。</w:t>
      </w:r>
      <w:r>
        <w:rPr>
          <w:rFonts w:hint="eastAsia" w:ascii="仿宋" w:hAnsi="仿宋" w:eastAsia="仿宋" w:cs="仿宋_GB2312"/>
          <w:bCs/>
          <w:snapToGrid w:val="0"/>
          <w:color w:val="000000"/>
          <w:kern w:val="0"/>
          <w:sz w:val="32"/>
          <w:szCs w:val="32"/>
          <w:lang w:val="en-US" w:eastAsia="zh-CN"/>
        </w:rPr>
        <w:t>积极培训教师业务，不断提高教师业务能力</w:t>
      </w:r>
      <w:r>
        <w:rPr>
          <w:rFonts w:hint="eastAsia" w:ascii="仿宋" w:hAnsi="仿宋" w:eastAsia="仿宋" w:cs="仿宋_GB2312"/>
          <w:kern w:val="10"/>
          <w:sz w:val="32"/>
          <w:szCs w:val="32"/>
        </w:rPr>
        <w:t>。</w:t>
      </w:r>
      <w:r>
        <w:rPr>
          <w:rFonts w:hint="eastAsia" w:ascii="仿宋" w:hAnsi="仿宋" w:eastAsia="仿宋" w:cs="仿宋_GB2312"/>
          <w:bCs/>
          <w:kern w:val="10"/>
          <w:sz w:val="32"/>
          <w:szCs w:val="32"/>
        </w:rPr>
        <w:t>二是</w:t>
      </w:r>
      <w:r>
        <w:rPr>
          <w:rFonts w:hint="eastAsia" w:ascii="仿宋" w:hAnsi="仿宋" w:eastAsia="仿宋" w:cs="仿宋_GB2312"/>
          <w:kern w:val="10"/>
          <w:sz w:val="32"/>
          <w:szCs w:val="32"/>
          <w:lang w:val="en-US" w:eastAsia="zh-CN"/>
        </w:rPr>
        <w:t>关心关爱师生，让师生安心工作与学习</w:t>
      </w:r>
      <w:r>
        <w:rPr>
          <w:rFonts w:hint="eastAsia" w:ascii="仿宋" w:hAnsi="仿宋" w:eastAsia="仿宋" w:cs="仿宋_GB2312"/>
          <w:kern w:val="10"/>
          <w:sz w:val="32"/>
          <w:szCs w:val="32"/>
        </w:rPr>
        <w:t>。</w:t>
      </w:r>
    </w:p>
    <w:p>
      <w:pPr>
        <w:spacing w:line="460" w:lineRule="exact"/>
        <w:ind w:firstLine="640" w:firstLineChars="200"/>
        <w:rPr>
          <w:rFonts w:ascii="仿宋" w:hAnsi="仿宋" w:eastAsia="仿宋" w:cs="楷体"/>
          <w:b/>
          <w:bCs/>
          <w:sz w:val="32"/>
          <w:szCs w:val="32"/>
        </w:rPr>
      </w:pPr>
      <w:r>
        <w:rPr>
          <w:rFonts w:hint="eastAsia" w:ascii="仿宋" w:hAnsi="仿宋" w:eastAsia="仿宋" w:cs="楷体_GB2312"/>
          <w:bCs/>
          <w:snapToGrid w:val="0"/>
          <w:color w:val="000000"/>
          <w:kern w:val="0"/>
          <w:sz w:val="32"/>
          <w:szCs w:val="32"/>
        </w:rPr>
        <w:t>切实加强校园安全宣传教育。</w:t>
      </w:r>
      <w:r>
        <w:rPr>
          <w:rFonts w:hint="eastAsia" w:ascii="仿宋" w:hAnsi="仿宋" w:eastAsia="仿宋"/>
          <w:color w:val="000000"/>
          <w:sz w:val="32"/>
          <w:szCs w:val="32"/>
        </w:rPr>
        <w:t>一是</w:t>
      </w:r>
      <w:r>
        <w:rPr>
          <w:rStyle w:val="12"/>
          <w:rFonts w:hint="eastAsia" w:ascii="仿宋" w:hAnsi="仿宋" w:eastAsia="仿宋" w:cs="仿宋_GB2312"/>
          <w:sz w:val="32"/>
          <w:szCs w:val="32"/>
        </w:rPr>
        <w:t>加强安全教育，通过主题班会、国旗下讲话、板报宣传等形式着力加强防溺水、道路交通、食品卫生等宣传教育，增强广大师生的安全意识。</w:t>
      </w:r>
      <w:r>
        <w:rPr>
          <w:rStyle w:val="12"/>
          <w:rFonts w:hint="eastAsia" w:ascii="仿宋" w:hAnsi="仿宋" w:eastAsia="仿宋" w:cs="仿宋_GB2312"/>
          <w:bCs/>
          <w:sz w:val="32"/>
          <w:szCs w:val="32"/>
        </w:rPr>
        <w:t>二是</w:t>
      </w:r>
      <w:r>
        <w:rPr>
          <w:rStyle w:val="12"/>
          <w:rFonts w:hint="eastAsia" w:ascii="仿宋" w:hAnsi="仿宋" w:eastAsia="仿宋" w:cs="仿宋_GB2312"/>
          <w:sz w:val="32"/>
          <w:szCs w:val="32"/>
        </w:rPr>
        <w:t>积极开展应急演练，</w:t>
      </w:r>
      <w:r>
        <w:rPr>
          <w:rFonts w:hint="eastAsia" w:ascii="仿宋" w:hAnsi="仿宋" w:eastAsia="仿宋"/>
          <w:snapToGrid w:val="0"/>
          <w:kern w:val="0"/>
          <w:sz w:val="32"/>
          <w:szCs w:val="32"/>
        </w:rPr>
        <w:t>上好安全教育“第一课”，积极组织开展应急疏散等安全演练活动，进一步提升师生应急防范及处置能力。</w:t>
      </w:r>
      <w:r>
        <w:rPr>
          <w:rFonts w:hint="eastAsia" w:ascii="仿宋" w:hAnsi="仿宋" w:eastAsia="仿宋"/>
          <w:bCs/>
          <w:snapToGrid w:val="0"/>
          <w:kern w:val="0"/>
          <w:sz w:val="32"/>
          <w:szCs w:val="32"/>
        </w:rPr>
        <w:t>三是</w:t>
      </w:r>
      <w:r>
        <w:rPr>
          <w:rStyle w:val="12"/>
          <w:rFonts w:hint="eastAsia" w:ascii="仿宋" w:hAnsi="仿宋" w:eastAsia="仿宋" w:cs="仿宋_GB2312"/>
          <w:sz w:val="32"/>
          <w:szCs w:val="32"/>
        </w:rPr>
        <w:t>加强校园巡</w:t>
      </w:r>
      <w:r>
        <w:rPr>
          <w:rFonts w:hint="eastAsia" w:ascii="仿宋" w:hAnsi="仿宋" w:eastAsia="仿宋"/>
          <w:color w:val="000000"/>
          <w:sz w:val="32"/>
          <w:szCs w:val="32"/>
        </w:rPr>
        <w:t>查，强化门卫管理，严格落实值班责任制，确保校园安全。四是</w:t>
      </w:r>
      <w:r>
        <w:rPr>
          <w:rFonts w:hint="eastAsia" w:ascii="仿宋" w:hAnsi="仿宋" w:eastAsia="仿宋"/>
          <w:snapToGrid w:val="0"/>
          <w:sz w:val="32"/>
          <w:szCs w:val="32"/>
        </w:rPr>
        <w:t>加强信访维稳，贯彻落实“1+3”维稳责任制，切实加强重点信访人员思想疏导工作，防范越级上访行为的发生。通过全系统上下共同努力，一年来未发生一起安全事故。</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目标1：开展教育教学改革，着力提升各学校、幼儿园日常管理水平，通过完善绩效考核、综合考评、教育教学奖励办法等制度和方案，加强管理。</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目标2：利用好师资培训经费，对接“国培计划”，通过开展各项教师培训活动，加强教师队伍建设。</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 xml:space="preserve">目标3：大力推进桃江新区学校和第三公办幼儿园规划建设。                                                           </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目标4：按照省市补助条件及要求，完成国家助学金、免学费补助、高考奖励金等奖助学金的发放工作，义务教育贫困寄宿生生活补助发放到位。</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2020年初县我单位部门预算支出</w:t>
      </w:r>
      <w:r>
        <w:rPr>
          <w:rFonts w:hint="eastAsia" w:ascii="仿宋" w:hAnsi="仿宋" w:eastAsia="仿宋"/>
          <w:sz w:val="32"/>
          <w:szCs w:val="32"/>
          <w:lang w:val="en-US" w:eastAsia="zh-CN"/>
        </w:rPr>
        <w:t>208</w:t>
      </w:r>
      <w:r>
        <w:rPr>
          <w:rFonts w:hint="eastAsia" w:ascii="仿宋" w:hAnsi="仿宋" w:eastAsia="仿宋"/>
          <w:sz w:val="32"/>
          <w:szCs w:val="32"/>
        </w:rPr>
        <w:t>万元，年度预算调整</w:t>
      </w:r>
      <w:r>
        <w:rPr>
          <w:rFonts w:hint="eastAsia" w:ascii="仿宋" w:hAnsi="仿宋" w:eastAsia="仿宋"/>
          <w:sz w:val="32"/>
          <w:szCs w:val="32"/>
          <w:lang w:val="en-US" w:eastAsia="zh-CN"/>
        </w:rPr>
        <w:t>238.93</w:t>
      </w:r>
      <w:r>
        <w:rPr>
          <w:rFonts w:hint="eastAsia" w:ascii="仿宋" w:hAnsi="仿宋" w:eastAsia="仿宋"/>
          <w:sz w:val="32"/>
          <w:szCs w:val="32"/>
        </w:rPr>
        <w:t>万元，调整后</w:t>
      </w:r>
      <w:r>
        <w:rPr>
          <w:rFonts w:hint="eastAsia" w:ascii="仿宋" w:hAnsi="仿宋" w:eastAsia="仿宋"/>
          <w:sz w:val="32"/>
          <w:szCs w:val="32"/>
          <w:lang w:val="en-US" w:eastAsia="zh-CN"/>
        </w:rPr>
        <w:t>238.93</w:t>
      </w:r>
      <w:r>
        <w:rPr>
          <w:rFonts w:hint="eastAsia" w:ascii="仿宋" w:hAnsi="仿宋" w:eastAsia="仿宋"/>
          <w:sz w:val="32"/>
          <w:szCs w:val="32"/>
        </w:rPr>
        <w:t>万元。当年实际完成收入</w:t>
      </w:r>
      <w:r>
        <w:rPr>
          <w:rFonts w:hint="eastAsia" w:ascii="仿宋" w:hAnsi="仿宋" w:eastAsia="仿宋"/>
          <w:sz w:val="32"/>
          <w:szCs w:val="32"/>
          <w:lang w:val="en-US" w:eastAsia="zh-CN"/>
        </w:rPr>
        <w:t>238.93</w:t>
      </w:r>
      <w:r>
        <w:rPr>
          <w:rFonts w:hint="eastAsia" w:ascii="仿宋" w:hAnsi="仿宋" w:eastAsia="仿宋"/>
          <w:sz w:val="32"/>
          <w:szCs w:val="32"/>
        </w:rPr>
        <w:t>万元（不含上年结转</w:t>
      </w:r>
      <w:r>
        <w:rPr>
          <w:rFonts w:hint="eastAsia" w:ascii="仿宋" w:hAnsi="仿宋" w:eastAsia="仿宋"/>
          <w:sz w:val="32"/>
          <w:szCs w:val="32"/>
          <w:lang w:val="en-US" w:eastAsia="zh-CN"/>
        </w:rPr>
        <w:t>13.94</w:t>
      </w:r>
      <w:r>
        <w:rPr>
          <w:rFonts w:hint="eastAsia" w:ascii="仿宋" w:hAnsi="仿宋" w:eastAsia="仿宋"/>
          <w:sz w:val="32"/>
          <w:szCs w:val="32"/>
        </w:rPr>
        <w:t>万元）；完成支出</w:t>
      </w:r>
      <w:r>
        <w:rPr>
          <w:rFonts w:hint="eastAsia" w:ascii="仿宋" w:hAnsi="仿宋" w:eastAsia="仿宋"/>
          <w:sz w:val="32"/>
          <w:szCs w:val="32"/>
          <w:lang w:val="en-US" w:eastAsia="zh-CN"/>
        </w:rPr>
        <w:t>238.93</w:t>
      </w:r>
      <w:r>
        <w:rPr>
          <w:rFonts w:hint="eastAsia" w:ascii="仿宋" w:hAnsi="仿宋" w:eastAsia="仿宋"/>
          <w:sz w:val="32"/>
          <w:szCs w:val="32"/>
        </w:rPr>
        <w:t>万元，其中工资福利支出</w:t>
      </w:r>
      <w:r>
        <w:rPr>
          <w:rFonts w:hint="eastAsia" w:ascii="仿宋" w:hAnsi="仿宋" w:eastAsia="仿宋"/>
          <w:sz w:val="32"/>
          <w:szCs w:val="32"/>
          <w:lang w:val="en-US" w:eastAsia="zh-CN"/>
        </w:rPr>
        <w:t>181.4</w:t>
      </w:r>
      <w:r>
        <w:rPr>
          <w:rFonts w:hint="eastAsia" w:ascii="仿宋" w:hAnsi="仿宋" w:eastAsia="仿宋"/>
          <w:sz w:val="32"/>
          <w:szCs w:val="32"/>
        </w:rPr>
        <w:t>万元、商品和服务支出</w:t>
      </w:r>
      <w:r>
        <w:rPr>
          <w:rFonts w:hint="eastAsia" w:ascii="仿宋" w:hAnsi="仿宋" w:eastAsia="仿宋"/>
          <w:sz w:val="32"/>
          <w:szCs w:val="32"/>
          <w:lang w:val="en-US" w:eastAsia="zh-CN"/>
        </w:rPr>
        <w:t>22.95</w:t>
      </w:r>
      <w:r>
        <w:rPr>
          <w:rFonts w:hint="eastAsia" w:ascii="仿宋" w:hAnsi="仿宋" w:eastAsia="仿宋"/>
          <w:sz w:val="32"/>
          <w:szCs w:val="32"/>
        </w:rPr>
        <w:t>万元、对个人和家庭的补助支出</w:t>
      </w:r>
      <w:r>
        <w:rPr>
          <w:rFonts w:hint="eastAsia" w:ascii="仿宋" w:hAnsi="仿宋" w:eastAsia="仿宋"/>
          <w:sz w:val="32"/>
          <w:szCs w:val="32"/>
          <w:lang w:val="en-US" w:eastAsia="zh-CN"/>
        </w:rPr>
        <w:t>23.79</w:t>
      </w:r>
      <w:r>
        <w:rPr>
          <w:rFonts w:hint="eastAsia" w:ascii="仿宋" w:hAnsi="仿宋" w:eastAsia="仿宋"/>
          <w:sz w:val="32"/>
          <w:szCs w:val="32"/>
        </w:rPr>
        <w:t>万元、其他资本性支出</w:t>
      </w:r>
      <w:r>
        <w:rPr>
          <w:rFonts w:hint="eastAsia" w:ascii="仿宋" w:hAnsi="仿宋" w:eastAsia="仿宋"/>
          <w:sz w:val="32"/>
          <w:szCs w:val="32"/>
          <w:lang w:val="en-US" w:eastAsia="zh-CN"/>
        </w:rPr>
        <w:t>10.79</w:t>
      </w:r>
      <w:r>
        <w:rPr>
          <w:rFonts w:hint="eastAsia" w:ascii="仿宋" w:hAnsi="仿宋" w:eastAsia="仿宋"/>
          <w:sz w:val="32"/>
          <w:szCs w:val="32"/>
        </w:rPr>
        <w:t>万元；年底结余</w:t>
      </w:r>
      <w:r>
        <w:rPr>
          <w:rFonts w:hint="eastAsia" w:ascii="仿宋" w:hAnsi="仿宋" w:eastAsia="仿宋"/>
          <w:sz w:val="32"/>
          <w:szCs w:val="32"/>
          <w:lang w:val="en-US" w:eastAsia="zh-CN"/>
        </w:rPr>
        <w:t>0</w:t>
      </w:r>
      <w:r>
        <w:rPr>
          <w:rFonts w:hint="eastAsia" w:ascii="仿宋" w:hAnsi="仿宋" w:eastAsia="仿宋"/>
          <w:sz w:val="32"/>
          <w:szCs w:val="32"/>
        </w:rPr>
        <w:t>万元，其中基本支出结余</w:t>
      </w:r>
      <w:r>
        <w:rPr>
          <w:rFonts w:hint="eastAsia" w:ascii="仿宋" w:hAnsi="仿宋" w:eastAsia="仿宋"/>
          <w:sz w:val="32"/>
          <w:szCs w:val="32"/>
          <w:lang w:val="en-US" w:eastAsia="zh-CN"/>
        </w:rPr>
        <w:t>0</w:t>
      </w:r>
      <w:r>
        <w:rPr>
          <w:rFonts w:hint="eastAsia" w:ascii="仿宋" w:hAnsi="仿宋" w:eastAsia="仿宋"/>
          <w:sz w:val="32"/>
          <w:szCs w:val="32"/>
        </w:rPr>
        <w:t>万元、项目结余0万元。部门预算支出与决算的差异总额为</w:t>
      </w:r>
      <w:r>
        <w:rPr>
          <w:rFonts w:hint="eastAsia" w:ascii="仿宋" w:hAnsi="仿宋" w:eastAsia="仿宋"/>
          <w:sz w:val="32"/>
          <w:szCs w:val="32"/>
          <w:lang w:val="en-US" w:eastAsia="zh-CN"/>
        </w:rPr>
        <w:t>0</w:t>
      </w:r>
      <w:r>
        <w:rPr>
          <w:rFonts w:hint="eastAsia" w:ascii="仿宋" w:hAnsi="仿宋" w:eastAsia="仿宋"/>
          <w:sz w:val="32"/>
          <w:szCs w:val="32"/>
        </w:rPr>
        <w:t>万元，差异的具体情况及原因见下表：</w:t>
      </w:r>
    </w:p>
    <w:tbl>
      <w:tblPr>
        <w:tblStyle w:val="7"/>
        <w:tblW w:w="0" w:type="auto"/>
        <w:jc w:val="center"/>
        <w:tblLayout w:type="fixed"/>
        <w:tblCellMar>
          <w:top w:w="0" w:type="dxa"/>
          <w:left w:w="108" w:type="dxa"/>
          <w:bottom w:w="0" w:type="dxa"/>
          <w:right w:w="108" w:type="dxa"/>
        </w:tblCellMar>
      </w:tblPr>
      <w:tblGrid>
        <w:gridCol w:w="1960"/>
        <w:gridCol w:w="1501"/>
        <w:gridCol w:w="1440"/>
        <w:gridCol w:w="1500"/>
        <w:gridCol w:w="1395"/>
      </w:tblGrid>
      <w:tr>
        <w:tblPrEx>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widowControl/>
              <w:spacing w:line="460" w:lineRule="exact"/>
              <w:jc w:val="center"/>
              <w:rPr>
                <w:rFonts w:ascii="仿宋" w:hAnsi="仿宋" w:eastAsia="仿宋" w:cs="宋体"/>
                <w:b/>
                <w:bCs/>
                <w:kern w:val="0"/>
                <w:sz w:val="32"/>
                <w:szCs w:val="32"/>
              </w:rPr>
            </w:pPr>
            <w:r>
              <w:rPr>
                <w:rFonts w:hint="eastAsia" w:ascii="仿宋" w:hAnsi="仿宋" w:eastAsia="仿宋" w:cs="宋体"/>
                <w:b/>
                <w:bCs/>
                <w:kern w:val="0"/>
                <w:sz w:val="32"/>
                <w:szCs w:val="32"/>
                <w:lang w:val="en-US" w:eastAsia="zh-CN"/>
              </w:rPr>
              <w:t>小慕中心学校</w:t>
            </w:r>
            <w:r>
              <w:rPr>
                <w:rFonts w:hint="eastAsia" w:ascii="仿宋" w:hAnsi="仿宋" w:eastAsia="仿宋" w:cs="宋体"/>
                <w:b/>
                <w:bCs/>
                <w:kern w:val="0"/>
                <w:sz w:val="32"/>
                <w:szCs w:val="32"/>
              </w:rPr>
              <w:t>2020年度预算执行总体情况</w:t>
            </w:r>
          </w:p>
        </w:tc>
      </w:tr>
      <w:tr>
        <w:tblPrEx>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1"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44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395" w:type="dxa"/>
            <w:tcBorders>
              <w:top w:val="nil"/>
              <w:left w:val="nil"/>
              <w:bottom w:val="nil"/>
              <w:right w:val="nil"/>
            </w:tcBorders>
            <w:vAlign w:val="bottom"/>
          </w:tcPr>
          <w:p>
            <w:pPr>
              <w:widowControl/>
              <w:spacing w:line="460" w:lineRule="exact"/>
              <w:jc w:val="left"/>
              <w:rPr>
                <w:rFonts w:ascii="仿宋" w:hAnsi="仿宋" w:eastAsia="仿宋" w:cs="仿宋"/>
                <w:kern w:val="0"/>
                <w:szCs w:val="21"/>
              </w:rPr>
            </w:pPr>
            <w:r>
              <w:rPr>
                <w:rFonts w:hint="eastAsia" w:ascii="仿宋" w:hAnsi="仿宋" w:eastAsia="仿宋" w:cs="仿宋"/>
                <w:kern w:val="0"/>
                <w:szCs w:val="21"/>
              </w:rPr>
              <w:t>单位：万元</w:t>
            </w:r>
          </w:p>
        </w:tc>
      </w:tr>
      <w:tr>
        <w:tblPrEx>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项目支出</w:t>
            </w:r>
          </w:p>
        </w:tc>
      </w:tr>
      <w:tr>
        <w:tblPrEx>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人员经费</w:t>
            </w:r>
          </w:p>
        </w:tc>
        <w:tc>
          <w:tcPr>
            <w:tcW w:w="150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238.93</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205.19</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33.74</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238.93</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205.19</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33.374</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395"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widowControl/>
              <w:spacing w:line="460" w:lineRule="exact"/>
              <w:rPr>
                <w:rFonts w:ascii="仿宋" w:hAnsi="仿宋" w:eastAsia="仿宋" w:cs="仿宋"/>
                <w:kern w:val="0"/>
                <w:sz w:val="24"/>
              </w:rPr>
            </w:pPr>
            <w:r>
              <w:rPr>
                <w:rFonts w:hint="eastAsia" w:ascii="仿宋" w:hAnsi="仿宋" w:eastAsia="仿宋" w:cs="仿宋"/>
                <w:kern w:val="0"/>
                <w:sz w:val="24"/>
              </w:rPr>
              <w:t>差异原因主要是：（具体文字说明）</w:t>
            </w:r>
          </w:p>
        </w:tc>
      </w:tr>
    </w:tbl>
    <w:p>
      <w:pPr>
        <w:spacing w:line="460" w:lineRule="exact"/>
        <w:ind w:firstLine="643" w:firstLineChars="200"/>
        <w:rPr>
          <w:rFonts w:ascii="仿宋" w:hAnsi="仿宋" w:eastAsia="仿宋" w:cs="楷体"/>
          <w:b/>
          <w:bCs/>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w:t>
      </w:r>
      <w:r>
        <w:rPr>
          <w:rFonts w:hint="eastAsia" w:ascii="仿宋" w:hAnsi="仿宋" w:eastAsia="仿宋" w:cs="仿宋_GB2312"/>
          <w:bCs/>
          <w:sz w:val="32"/>
          <w:szCs w:val="32"/>
          <w:lang w:val="en-US" w:eastAsia="zh-CN"/>
        </w:rPr>
        <w:t>全南县小慕中心学校</w:t>
      </w:r>
      <w:r>
        <w:rPr>
          <w:rFonts w:hint="eastAsia" w:ascii="仿宋" w:hAnsi="仿宋" w:eastAsia="仿宋" w:cs="仿宋_GB2312"/>
          <w:bCs/>
          <w:sz w:val="32"/>
          <w:szCs w:val="32"/>
        </w:rPr>
        <w:t>的人员经费和日常管理开支，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w:t>
      </w:r>
      <w:r>
        <w:rPr>
          <w:rFonts w:hint="eastAsia" w:ascii="仿宋" w:hAnsi="仿宋" w:eastAsia="仿宋" w:cs="仿宋_GB2312"/>
          <w:bCs/>
          <w:color w:val="333333"/>
          <w:sz w:val="32"/>
          <w:szCs w:val="32"/>
          <w:shd w:val="clear" w:color="auto" w:fill="FFFFFF"/>
        </w:rPr>
        <w:t>万元，与上年同比增加</w:t>
      </w:r>
      <w:r>
        <w:rPr>
          <w:rFonts w:hint="eastAsia" w:ascii="仿宋" w:hAnsi="仿宋" w:eastAsia="仿宋" w:cs="仿宋_GB2312"/>
          <w:bCs/>
          <w:color w:val="333333"/>
          <w:sz w:val="32"/>
          <w:szCs w:val="32"/>
          <w:shd w:val="clear" w:color="auto" w:fill="FFFFFF"/>
          <w:lang w:val="en-US" w:eastAsia="zh-CN"/>
        </w:rPr>
        <w:t>0</w:t>
      </w:r>
      <w:r>
        <w:rPr>
          <w:rFonts w:hint="eastAsia" w:ascii="仿宋" w:hAnsi="仿宋" w:eastAsia="仿宋" w:cs="仿宋_GB2312"/>
          <w:bCs/>
          <w:color w:val="333333"/>
          <w:sz w:val="32"/>
          <w:szCs w:val="32"/>
          <w:shd w:val="clear" w:color="auto" w:fill="FFFFFF"/>
        </w:rPr>
        <w:t>%， “三公”经费、会议费、培训费开支严格按照县里相关文件要求执行。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1.项目资金管理情况分析。</w:t>
      </w:r>
      <w:r>
        <w:rPr>
          <w:rFonts w:hint="eastAsia" w:ascii="仿宋" w:hAnsi="仿宋" w:eastAsia="仿宋" w:cs="仿宋_GB2312"/>
          <w:sz w:val="32"/>
          <w:szCs w:val="32"/>
        </w:rPr>
        <w:t>全南县教育局针对不同用途的项目资金，制定了不同的项目资金管理办法，如校建工程类、寄宿生补助等，不同的项目资金由不同的股室具体负责，严格按照项目资金管理办法执行，由县财政局对各项目资金的使用进行监管，资金拨付有完整的审批程序和手续，</w:t>
      </w:r>
      <w:r>
        <w:rPr>
          <w:rFonts w:hint="eastAsia" w:ascii="仿宋" w:hAnsi="仿宋" w:eastAsia="仿宋" w:cs="仿宋_GB2312"/>
          <w:color w:val="333333"/>
          <w:sz w:val="32"/>
          <w:szCs w:val="32"/>
          <w:shd w:val="clear" w:color="auto" w:fill="FFFFFF"/>
        </w:rPr>
        <w:t>专项资金没有被挪用、挤占，全部按进度支付到位。</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本部门履职及履职效益良好。一是各项支出严格按照预算额度进行控制，努力节约经费；二是各项工作均能够按时完成，且质量较高；三是部门整体支出使用效果达到了预期。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（一）主要问题及原因分析</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财政下拨单位部分专项经费不及时，资金使用较为被动，不利于各项工作的开展，尤其是校建工程项目资金。</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建议县财政局及时下拨我单位专项经费，便于日常工作有序进行，更好地安排校建工程进度。</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color w:val="333333"/>
          <w:sz w:val="32"/>
          <w:szCs w:val="32"/>
          <w:shd w:val="clear" w:color="auto" w:fill="FFFFFF"/>
        </w:rPr>
        <w:t>我单位将加强</w:t>
      </w:r>
      <w:r>
        <w:rPr>
          <w:rFonts w:hint="eastAsia" w:ascii="仿宋" w:hAnsi="仿宋" w:eastAsia="仿宋" w:cs="仿宋_GB2312"/>
          <w:color w:val="333333"/>
          <w:sz w:val="32"/>
          <w:szCs w:val="32"/>
          <w:shd w:val="clear" w:color="auto" w:fill="FFFFFF"/>
          <w:lang w:val="en-US" w:eastAsia="zh-CN"/>
        </w:rPr>
        <w:t>财务</w:t>
      </w:r>
      <w:r>
        <w:rPr>
          <w:rFonts w:hint="eastAsia" w:ascii="仿宋" w:hAnsi="仿宋" w:eastAsia="仿宋" w:cs="仿宋_GB2312"/>
          <w:color w:val="333333"/>
          <w:sz w:val="32"/>
          <w:szCs w:val="32"/>
          <w:shd w:val="clear" w:color="auto" w:fill="FFFFFF"/>
        </w:rPr>
        <w:t>管理，明确细化资金支付时间。</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w:t>
      </w:r>
      <w:r>
        <w:rPr>
          <w:rFonts w:hint="eastAsia" w:ascii="仿宋" w:hAnsi="仿宋" w:eastAsia="仿宋" w:cs="仿宋_GB2312"/>
          <w:bCs/>
          <w:sz w:val="32"/>
          <w:szCs w:val="32"/>
          <w:lang w:val="en-US" w:eastAsia="zh-CN"/>
        </w:rPr>
        <w:t>96</w:t>
      </w:r>
      <w:r>
        <w:rPr>
          <w:rFonts w:hint="eastAsia" w:ascii="仿宋" w:hAnsi="仿宋" w:eastAsia="仿宋" w:cs="仿宋_GB2312"/>
          <w:bCs/>
          <w:sz w:val="32"/>
          <w:szCs w:val="32"/>
        </w:rPr>
        <w:t>分，等级优。</w:t>
      </w:r>
    </w:p>
    <w:p>
      <w:pPr>
        <w:spacing w:line="460" w:lineRule="exact"/>
        <w:ind w:firstLine="643" w:firstLineChars="200"/>
        <w:rPr>
          <w:rFonts w:ascii="楷体" w:hAnsi="楷体" w:eastAsia="楷体" w:cs="楷体"/>
          <w:b/>
          <w:bCs/>
          <w:sz w:val="32"/>
          <w:szCs w:val="32"/>
        </w:rPr>
      </w:pPr>
    </w:p>
    <w:p>
      <w:pPr>
        <w:spacing w:line="460" w:lineRule="exact"/>
        <w:ind w:firstLine="643" w:firstLineChars="200"/>
        <w:rPr>
          <w:rFonts w:ascii="楷体" w:hAnsi="楷体" w:eastAsia="楷体" w:cs="楷体"/>
          <w:b/>
          <w:bCs/>
          <w:sz w:val="32"/>
          <w:szCs w:val="32"/>
        </w:rPr>
      </w:pPr>
    </w:p>
    <w:p>
      <w:pPr>
        <w:spacing w:line="460" w:lineRule="exact"/>
        <w:ind w:firstLine="640" w:firstLineChars="200"/>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5B6135C"/>
    <w:rsid w:val="0D021A7D"/>
    <w:rsid w:val="0FAF02A7"/>
    <w:rsid w:val="180271E1"/>
    <w:rsid w:val="2234389F"/>
    <w:rsid w:val="2C735699"/>
    <w:rsid w:val="30C4313D"/>
    <w:rsid w:val="383545BB"/>
    <w:rsid w:val="41187497"/>
    <w:rsid w:val="465A3DA9"/>
    <w:rsid w:val="47FE7C97"/>
    <w:rsid w:val="52C26A61"/>
    <w:rsid w:val="57D93D3A"/>
    <w:rsid w:val="58D973DD"/>
    <w:rsid w:val="61C962D9"/>
    <w:rsid w:val="632F06C8"/>
    <w:rsid w:val="6626486F"/>
    <w:rsid w:val="687E628B"/>
    <w:rsid w:val="69171AF5"/>
    <w:rsid w:val="6982158C"/>
    <w:rsid w:val="69B712CE"/>
    <w:rsid w:val="6B821078"/>
    <w:rsid w:val="6CFD166B"/>
    <w:rsid w:val="6E325870"/>
    <w:rsid w:val="704B59F2"/>
    <w:rsid w:val="746852B3"/>
    <w:rsid w:val="798F55D5"/>
    <w:rsid w:val="7A77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Title"/>
    <w:basedOn w:val="1"/>
    <w:qFormat/>
    <w:uiPriority w:val="0"/>
    <w:pPr>
      <w:spacing w:before="240" w:after="60"/>
      <w:jc w:val="center"/>
      <w:outlineLvl w:val="0"/>
    </w:pPr>
    <w:rPr>
      <w:rFonts w:ascii="Arial" w:hAnsi="Arial" w:cs="Arial"/>
      <w:b/>
      <w:bCs/>
      <w:sz w:val="32"/>
      <w:szCs w:val="32"/>
    </w:rPr>
  </w:style>
  <w:style w:type="character" w:customStyle="1" w:styleId="9">
    <w:name w:val="页脚 Char"/>
    <w:link w:val="3"/>
    <w:qFormat/>
    <w:uiPriority w:val="0"/>
    <w:rPr>
      <w:kern w:val="2"/>
      <w:sz w:val="18"/>
      <w:szCs w:val="18"/>
    </w:rPr>
  </w:style>
  <w:style w:type="character" w:customStyle="1" w:styleId="10">
    <w:name w:val="页眉 Char"/>
    <w:link w:val="4"/>
    <w:uiPriority w:val="0"/>
    <w:rPr>
      <w:kern w:val="2"/>
      <w:sz w:val="18"/>
      <w:szCs w:val="18"/>
    </w:rPr>
  </w:style>
  <w:style w:type="paragraph" w:customStyle="1" w:styleId="11">
    <w:name w:val="办公自动化专用标题"/>
    <w:basedOn w:val="6"/>
    <w:uiPriority w:val="0"/>
    <w:pPr>
      <w:spacing w:line="560" w:lineRule="atLeast"/>
    </w:pPr>
    <w:rPr>
      <w:rFonts w:ascii="宋体" w:cs="Times New Roman"/>
      <w:bCs w:val="0"/>
      <w:kern w:val="0"/>
      <w:sz w:val="44"/>
      <w:szCs w:val="20"/>
    </w:rPr>
  </w:style>
  <w:style w:type="character" w:customStyle="1" w:styleId="12">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2452</Words>
  <Characters>2548</Characters>
  <Lines>22</Lines>
  <Paragraphs>6</Paragraphs>
  <TotalTime>35</TotalTime>
  <ScaleCrop>false</ScaleCrop>
  <LinksUpToDate>false</LinksUpToDate>
  <CharactersWithSpaces>2613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曾国忠</cp:lastModifiedBy>
  <cp:lastPrinted>2017-06-28T08:06:00Z</cp:lastPrinted>
  <dcterms:modified xsi:type="dcterms:W3CDTF">2022-04-06T09:55:22Z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0A3F3952C0D84DB3925ABD108AFA8444</vt:lpwstr>
  </property>
</Properties>
</file>