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rPr>
        <w:t>全南工业园区管委会</w:t>
      </w:r>
      <w:r>
        <w:rPr>
          <w:rFonts w:hint="eastAsia" w:ascii="黑体" w:hAnsi="黑体" w:eastAsia="黑体" w:cs="黑体"/>
          <w:b/>
          <w:bCs/>
          <w:sz w:val="36"/>
          <w:szCs w:val="36"/>
          <w:lang w:val="en-US" w:eastAsia="zh-CN"/>
        </w:rPr>
        <w:t>2021年</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部门整体支出绩效自评报告</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6"/>
          <w:szCs w:val="36"/>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一、部门概况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（一）部门主要职责职能，组织架构、人员及资产等基本情况。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部门</w:t>
      </w:r>
      <w:r>
        <w:rPr>
          <w:rFonts w:hint="eastAsia" w:ascii="仿宋_GB2312" w:hAnsi="仿宋_GB2312" w:eastAsia="仿宋_GB2312" w:cs="仿宋_GB2312"/>
          <w:b/>
          <w:bCs/>
          <w:sz w:val="32"/>
          <w:szCs w:val="32"/>
          <w:lang w:eastAsia="zh-CN"/>
        </w:rPr>
        <w:t>主要职责</w:t>
      </w:r>
      <w:r>
        <w:rPr>
          <w:rFonts w:hint="eastAsia" w:ascii="仿宋_GB2312" w:hAnsi="仿宋_GB2312" w:eastAsia="仿宋_GB2312" w:cs="仿宋_GB2312"/>
          <w:b/>
          <w:bCs/>
          <w:sz w:val="32"/>
          <w:szCs w:val="32"/>
        </w:rPr>
        <w:t>职能</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(一)贯彻执行党和国家的有关方针政策，实施国家有关法律、法规和法令，执行县委、县政府的指示和决定，拟定工业园区的管理制度，并组织实施。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(二)组织编制工业园区总体发展规划，产业发展规划以及控制性祥规，拟定各工业园区近期、中长期的开发建设、科技、经济发展规划。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(三)负责组织开展工业园区环境影响评价评估、专家评审和报批工作，加强环境保护，维护园区生态环境。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(四)组织协调县工业园区建设征地拆迁工作。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(五)负责指导工业园区内基建工程的报建、招投标、施工管理以及工程质量和安全的监管、监督、工程竣工验收。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(六)负责指导工业园区内的项目招商引资工作，企业的项目立项，环评审定。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(七)负责工业园区企业经济调查和统计。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(八)承办县委、县政府交办的其他工作。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工业园区企业综合服务中心主要承担园区企业安全生产、 企业代办、人才服务、政策咨询等职责。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部门组织</w:t>
      </w:r>
      <w:r>
        <w:rPr>
          <w:rFonts w:hint="eastAsia" w:ascii="仿宋_GB2312" w:hAnsi="仿宋_GB2312" w:eastAsia="仿宋_GB2312" w:cs="仿宋_GB2312"/>
          <w:b/>
          <w:bCs/>
          <w:sz w:val="32"/>
          <w:szCs w:val="32"/>
          <w:lang w:eastAsia="zh-CN"/>
        </w:rPr>
        <w:t>架构、</w:t>
      </w:r>
      <w:r>
        <w:rPr>
          <w:rFonts w:hint="eastAsia" w:ascii="仿宋_GB2312" w:hAnsi="仿宋_GB2312" w:eastAsia="仿宋_GB2312" w:cs="仿宋_GB2312"/>
          <w:b/>
          <w:bCs/>
          <w:sz w:val="32"/>
          <w:szCs w:val="32"/>
        </w:rPr>
        <w:t>人员</w:t>
      </w:r>
      <w:r>
        <w:rPr>
          <w:rFonts w:hint="eastAsia" w:ascii="仿宋_GB2312" w:hAnsi="仿宋_GB2312" w:eastAsia="仿宋_GB2312" w:cs="仿宋_GB2312"/>
          <w:b/>
          <w:bCs/>
          <w:sz w:val="32"/>
          <w:szCs w:val="32"/>
          <w:lang w:eastAsia="zh-CN"/>
        </w:rPr>
        <w:t>及资产情况</w:t>
      </w:r>
      <w:r>
        <w:rPr>
          <w:rFonts w:hint="eastAsia" w:ascii="仿宋_GB2312" w:hAnsi="仿宋_GB2312" w:eastAsia="仿宋_GB2312" w:cs="仿宋_GB2312"/>
          <w:sz w:val="32"/>
          <w:szCs w:val="32"/>
        </w:rPr>
        <w:t>:本单位为政府派出机构，人员编制</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人，正科1名、副科3名，股级4名、一般干部</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实在人数</w:t>
      </w:r>
      <w:r>
        <w:rPr>
          <w:rFonts w:hint="eastAsia" w:ascii="仿宋_GB2312" w:hAnsi="仿宋_GB2312" w:eastAsia="仿宋_GB2312" w:cs="仿宋_GB2312"/>
          <w:sz w:val="32"/>
          <w:szCs w:val="32"/>
          <w:lang w:val="en-US" w:eastAsia="zh-CN"/>
        </w:rPr>
        <w:t>14人；</w:t>
      </w:r>
      <w:r>
        <w:rPr>
          <w:rFonts w:hint="eastAsia" w:ascii="仿宋_GB2312" w:hAnsi="仿宋_GB2312" w:eastAsia="仿宋_GB2312" w:cs="仿宋_GB2312"/>
          <w:sz w:val="32"/>
          <w:szCs w:val="32"/>
        </w:rPr>
        <w:t>内设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个职能股室为</w:t>
      </w:r>
      <w:r>
        <w:rPr>
          <w:rFonts w:hint="eastAsia" w:ascii="仿宋_GB2312" w:hAnsi="仿宋_GB2312" w:eastAsia="仿宋_GB2312" w:cs="仿宋_GB2312"/>
          <w:sz w:val="32"/>
          <w:szCs w:val="32"/>
          <w:lang w:eastAsia="zh-CN"/>
        </w:rPr>
        <w:t>“一室三股”，即</w:t>
      </w:r>
      <w:r>
        <w:rPr>
          <w:rFonts w:hint="eastAsia" w:ascii="仿宋_GB2312" w:hAnsi="仿宋_GB2312" w:eastAsia="仿宋_GB2312" w:cs="仿宋_GB2312"/>
          <w:sz w:val="32"/>
          <w:szCs w:val="32"/>
        </w:rPr>
        <w:t>综合办公室、规划建设股、招商引资股、企业服务股。</w:t>
      </w:r>
      <w:r>
        <w:rPr>
          <w:rFonts w:hint="eastAsia" w:ascii="仿宋_GB2312" w:hAnsi="仿宋_GB2312" w:eastAsia="仿宋_GB2312" w:cs="仿宋_GB2312"/>
          <w:sz w:val="32"/>
          <w:szCs w:val="32"/>
          <w:lang w:eastAsia="zh-CN"/>
        </w:rPr>
        <w:t>下设</w:t>
      </w:r>
      <w:r>
        <w:rPr>
          <w:rFonts w:hint="eastAsia" w:ascii="仿宋_GB2312" w:hAnsi="仿宋_GB2312" w:eastAsia="仿宋_GB2312" w:cs="仿宋_GB2312"/>
          <w:b w:val="0"/>
          <w:bCs/>
          <w:color w:val="000000"/>
          <w:kern w:val="0"/>
          <w:sz w:val="32"/>
          <w:szCs w:val="32"/>
          <w:lang w:val="en-US" w:eastAsia="zh-CN" w:bidi="ar"/>
        </w:rPr>
        <w:t>县工业园区企业综合服务中心。</w:t>
      </w:r>
      <w:r>
        <w:rPr>
          <w:rFonts w:hint="eastAsia" w:ascii="仿宋_GB2312" w:hAnsi="仿宋_GB2312" w:eastAsia="仿宋_GB2312" w:cs="仿宋_GB2312"/>
          <w:color w:val="000000"/>
          <w:kern w:val="0"/>
          <w:sz w:val="32"/>
          <w:szCs w:val="32"/>
          <w:lang w:val="en-US" w:eastAsia="zh-CN" w:bidi="ar"/>
        </w:rPr>
        <w:t>核定人员编制 4 名（全额拨款），股级职数：主任 1 名，副主任 1 名。实在人数4人。我单位资产总额450.43万元。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（二）当年部门履职总体目标、工作任务</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1.总体目标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目标1：</w:t>
      </w:r>
      <w:r>
        <w:rPr>
          <w:rFonts w:hint="eastAsia" w:ascii="仿宋_GB2312" w:hAnsi="仿宋_GB2312" w:eastAsia="仿宋_GB2312" w:cs="仿宋_GB2312"/>
          <w:b w:val="0"/>
          <w:bCs/>
          <w:sz w:val="32"/>
          <w:szCs w:val="32"/>
        </w:rPr>
        <w:t>做好园区“两新”企业党建工作，夯实企业党建基础</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val="0"/>
          <w:sz w:val="32"/>
          <w:szCs w:val="32"/>
        </w:rPr>
        <w:t>开展“联学共建”品牌，促进组织活动长态化开展。</w:t>
      </w:r>
    </w:p>
    <w:p>
      <w:pPr>
        <w:pStyle w:val="2"/>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目标</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加快推进第二轮调扩区工作，重点将松岩企业，立新，天龙，镇仔产业园约6000多亩土地纳入工业园区范围，为今后工业长远发展提供坚实保障</w:t>
      </w:r>
    </w:p>
    <w:p>
      <w:pPr>
        <w:pageBreakBefore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目标3：</w:t>
      </w:r>
      <w:r>
        <w:rPr>
          <w:rFonts w:hint="eastAsia" w:ascii="仿宋_GB2312" w:hAnsi="仿宋_GB2312" w:eastAsia="仿宋_GB2312" w:cs="仿宋_GB2312"/>
          <w:sz w:val="32"/>
          <w:szCs w:val="32"/>
        </w:rPr>
        <w:t>建立闲置厂房盘活机制，通过支持停产企业资产重组、并购、转让以及走司法程序依法依规盘活闲置资源等方式进一步提升园区土地和厂房利用效率</w:t>
      </w:r>
    </w:p>
    <w:p>
      <w:pPr>
        <w:pStyle w:val="2"/>
        <w:pageBreakBefore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目标4：</w:t>
      </w:r>
      <w:r>
        <w:rPr>
          <w:rFonts w:hint="eastAsia" w:ascii="仿宋_GB2312" w:hAnsi="仿宋_GB2312" w:eastAsia="仿宋_GB2312" w:cs="仿宋_GB2312"/>
          <w:b w:val="0"/>
          <w:bCs w:val="0"/>
          <w:sz w:val="32"/>
          <w:szCs w:val="32"/>
        </w:rPr>
        <w:t>加快园区基础和配套设施建设，加快建设标准厂房六期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工业园松山片区配套综合体</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重点推进县第二自来水厂管网延伸至田心产业园，加速实施县工业污水处理厂提标及对园区企业加强管理</w:t>
      </w:r>
      <w:r>
        <w:rPr>
          <w:rFonts w:hint="eastAsia" w:ascii="仿宋_GB2312" w:hAnsi="仿宋_GB2312" w:eastAsia="仿宋_GB2312" w:cs="仿宋_GB2312"/>
          <w:sz w:val="32"/>
          <w:szCs w:val="32"/>
        </w:rPr>
        <w:t>，</w:t>
      </w:r>
    </w:p>
    <w:p>
      <w:pPr>
        <w:pStyle w:val="2"/>
        <w:pageBreakBefore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目标</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对园区环境、卫生、治安进行管理污水管网延伸项目建设</w:t>
      </w:r>
      <w:r>
        <w:rPr>
          <w:rFonts w:hint="eastAsia" w:ascii="仿宋_GB2312" w:hAnsi="仿宋_GB2312" w:eastAsia="仿宋_GB2312" w:cs="仿宋_GB2312"/>
          <w:b w:val="0"/>
          <w:bCs w:val="0"/>
          <w:sz w:val="32"/>
          <w:szCs w:val="32"/>
          <w:lang w:eastAsia="zh-CN"/>
        </w:rPr>
        <w:t>，推动建立企业破产处置</w:t>
      </w:r>
      <w:r>
        <w:rPr>
          <w:rFonts w:hint="eastAsia" w:ascii="仿宋_GB2312" w:hAnsi="仿宋_GB2312" w:eastAsia="仿宋_GB2312" w:cs="仿宋_GB2312"/>
          <w:b w:val="0"/>
          <w:bCs w:val="0"/>
          <w:sz w:val="32"/>
          <w:szCs w:val="32"/>
          <w:lang w:val="en-US" w:eastAsia="zh-CN"/>
        </w:rPr>
        <w:t xml:space="preserve">  联动机制，加快</w:t>
      </w:r>
      <w:r>
        <w:rPr>
          <w:rFonts w:hint="eastAsia" w:ascii="仿宋_GB2312" w:hAnsi="仿宋_GB2312" w:eastAsia="仿宋_GB2312" w:cs="仿宋_GB2312"/>
          <w:b w:val="0"/>
          <w:bCs w:val="0"/>
          <w:sz w:val="32"/>
          <w:szCs w:val="32"/>
        </w:rPr>
        <w:t>对园区闲置企业联合自然资源、住建、查违拆违等部门执法，加强对工业企业的管理</w:t>
      </w:r>
    </w:p>
    <w:p>
      <w:pPr>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持续以“财园信贷通”为有力抓手，建立企业与银行之间的联系纽带，加快与银联商务合作并有效实施普惠金融，进而拓宽非公企业融资渠道，降低融资成本</w:t>
      </w:r>
      <w:r>
        <w:rPr>
          <w:rFonts w:hint="eastAsia" w:ascii="仿宋_GB2312" w:hAnsi="仿宋_GB2312" w:eastAsia="仿宋_GB2312" w:cs="仿宋_GB2312"/>
          <w:sz w:val="32"/>
          <w:szCs w:val="32"/>
          <w:lang w:val="en-US" w:eastAsia="zh-CN"/>
        </w:rPr>
        <w:t>,确实解决企业融资难问题</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目标7：</w:t>
      </w:r>
      <w:r>
        <w:rPr>
          <w:rFonts w:hint="eastAsia" w:ascii="仿宋_GB2312" w:hAnsi="仿宋_GB2312" w:eastAsia="仿宋_GB2312" w:cs="仿宋_GB2312"/>
          <w:b w:val="0"/>
          <w:bCs w:val="0"/>
          <w:sz w:val="32"/>
          <w:szCs w:val="32"/>
        </w:rPr>
        <w:t>围绕“一主三优”工业产业发展体系，聚焦电子信息首位产业招商引资，瞄准“首位产业集聚度”和“当年基础设施投资额增速”等核心指标，做好全省“争先创优综合考核评价”工作</w:t>
      </w:r>
    </w:p>
    <w:p>
      <w:pPr>
        <w:pStyle w:val="2"/>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2、工作任务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Style w:val="6"/>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（1）</w:t>
      </w:r>
      <w:r>
        <w:rPr>
          <w:rStyle w:val="6"/>
          <w:rFonts w:hint="eastAsia" w:ascii="仿宋_GB2312" w:hAnsi="仿宋_GB2312" w:eastAsia="仿宋_GB2312" w:cs="仿宋_GB2312"/>
          <w:b w:val="0"/>
          <w:bCs w:val="0"/>
          <w:color w:val="000000"/>
          <w:sz w:val="32"/>
          <w:szCs w:val="32"/>
        </w:rPr>
        <w:t>深入推进基层党建“三化”建设提质增效和质量过硬工作。</w:t>
      </w:r>
      <w:r>
        <w:rPr>
          <w:rStyle w:val="6"/>
          <w:rFonts w:hint="eastAsia" w:ascii="仿宋_GB2312" w:hAnsi="仿宋_GB2312" w:eastAsia="仿宋_GB2312" w:cs="仿宋_GB2312"/>
          <w:color w:val="000000"/>
          <w:sz w:val="32"/>
          <w:szCs w:val="32"/>
        </w:rPr>
        <w:t>深入学习宣传党的十九届六中全会</w:t>
      </w:r>
      <w:r>
        <w:rPr>
          <w:rStyle w:val="6"/>
          <w:rFonts w:hint="eastAsia" w:ascii="仿宋_GB2312" w:hAnsi="仿宋_GB2312" w:eastAsia="仿宋_GB2312" w:cs="仿宋_GB2312"/>
          <w:color w:val="000000"/>
          <w:sz w:val="32"/>
          <w:szCs w:val="32"/>
          <w:lang w:eastAsia="zh-CN"/>
        </w:rPr>
        <w:t>及省，市，县领导干部会议</w:t>
      </w:r>
      <w:r>
        <w:rPr>
          <w:rStyle w:val="6"/>
          <w:rFonts w:hint="eastAsia" w:ascii="仿宋_GB2312" w:hAnsi="仿宋_GB2312" w:eastAsia="仿宋_GB2312" w:cs="仿宋_GB2312"/>
          <w:color w:val="000000"/>
          <w:sz w:val="32"/>
          <w:szCs w:val="32"/>
        </w:rPr>
        <w:t>精神；维护好“联学共建”品牌，确保非公企业支部</w:t>
      </w:r>
      <w:r>
        <w:rPr>
          <w:rStyle w:val="6"/>
          <w:rFonts w:hint="eastAsia" w:ascii="仿宋_GB2312" w:hAnsi="仿宋_GB2312" w:eastAsia="仿宋_GB2312" w:cs="仿宋_GB2312"/>
          <w:color w:val="000000"/>
          <w:sz w:val="32"/>
          <w:szCs w:val="32"/>
          <w:lang w:eastAsia="zh-CN"/>
        </w:rPr>
        <w:t>活动</w:t>
      </w:r>
      <w:r>
        <w:rPr>
          <w:rStyle w:val="6"/>
          <w:rFonts w:hint="eastAsia" w:ascii="仿宋_GB2312" w:hAnsi="仿宋_GB2312" w:eastAsia="仿宋_GB2312" w:cs="仿宋_GB2312"/>
          <w:color w:val="000000"/>
          <w:sz w:val="32"/>
          <w:szCs w:val="32"/>
        </w:rPr>
        <w:t>正常化；加强党员教育管理，落实“党性体检”，开好组织生活会和民主生活会；推广落实“一章一表”工作法，认真做好发展党员工作</w:t>
      </w:r>
      <w:r>
        <w:rPr>
          <w:rStyle w:val="6"/>
          <w:rFonts w:hint="eastAsia" w:ascii="仿宋_GB2312" w:hAnsi="仿宋_GB2312" w:eastAsia="仿宋_GB2312" w:cs="仿宋_GB2312"/>
          <w:color w:val="000000"/>
          <w:sz w:val="32"/>
          <w:szCs w:val="32"/>
          <w:lang w:eastAsia="zh-CN"/>
        </w:rPr>
        <w:t>；</w:t>
      </w:r>
      <w:r>
        <w:rPr>
          <w:rStyle w:val="6"/>
          <w:rFonts w:hint="eastAsia" w:ascii="仿宋_GB2312" w:hAnsi="仿宋_GB2312" w:eastAsia="仿宋_GB2312" w:cs="仿宋_GB2312"/>
          <w:color w:val="000000"/>
          <w:sz w:val="32"/>
          <w:szCs w:val="32"/>
        </w:rPr>
        <w:t>强化队伍建设，组织好党组织书记和党建指导员述职评议考核</w:t>
      </w:r>
      <w:r>
        <w:rPr>
          <w:rStyle w:val="6"/>
          <w:rFonts w:hint="eastAsia" w:ascii="仿宋_GB2312" w:hAnsi="仿宋_GB2312" w:eastAsia="仿宋_GB2312" w:cs="仿宋_GB2312"/>
          <w:color w:val="000000"/>
          <w:sz w:val="32"/>
          <w:szCs w:val="32"/>
          <w:lang w:eastAsia="zh-CN"/>
        </w:rPr>
        <w:t>；做好人才服务工作，引进人才，重视人才，服务人才。</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（2）进一步推动园区标准厂房满园扩园。</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加大招商引资力度，积极引进一批电子信息企业落户园区，提升园区标准厂房使用率。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（3）进一步完善园区平台建设，提高园区承载能力。</w:t>
      </w:r>
      <w:r>
        <w:rPr>
          <w:rStyle w:val="6"/>
          <w:rFonts w:hint="eastAsia" w:ascii="仿宋_GB2312" w:hAnsi="仿宋_GB2312" w:eastAsia="仿宋_GB2312" w:cs="仿宋_GB2312"/>
          <w:b/>
          <w:bCs/>
          <w:i w:val="0"/>
          <w:caps w:val="0"/>
          <w:color w:val="000000"/>
          <w:spacing w:val="0"/>
          <w:w w:val="100"/>
          <w:kern w:val="2"/>
          <w:sz w:val="32"/>
          <w:szCs w:val="32"/>
          <w:lang w:val="en-US" w:eastAsia="zh-CN" w:bidi="ar-SA"/>
        </w:rPr>
        <w:t>一</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加快工业园区调扩区工作，将现二区延伸片229.75公顷和镇仔产业园（含松岩冶金）150.44公顷等两宗地，力争调入工业园区四址用地范围；加快推动镇仔工业园首期500亩用地土方平整工程建设，尽快供地给落户企业；进一步盘活和利用好园区闲置土地和闲置厂房，提高园区土地、厂房使用率；做好园区标准厂房六期建设，编制后续规划设计并启动建设.。</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（4）着眼园区改革创新，抓好园区中心工作。</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积极做好全南工业园区改革创新工作，积极争先创优考评进位赶超；加强园区闲置厂房盘活力度，紧紧围绕“一主三优”工业产业发展体系，聚焦电子信息首位产业招商引资，提高园区厂房利用率；做好园区安全生产、环保、乡村振兴、廉洁园区、信访维稳和环境整治等中心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（三）当年部门年度整体支出绩效目标。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目标1：</w:t>
      </w:r>
      <w:r>
        <w:rPr>
          <w:rStyle w:val="6"/>
          <w:rFonts w:hint="eastAsia" w:ascii="仿宋_GB2312" w:hAnsi="仿宋_GB2312" w:eastAsia="仿宋_GB2312" w:cs="仿宋_GB2312"/>
          <w:color w:val="000000"/>
          <w:sz w:val="32"/>
          <w:szCs w:val="32"/>
        </w:rPr>
        <w:t>着力打造或提升晶环、新资源、群英达、产学研用园等党建示范点</w:t>
      </w:r>
      <w:r>
        <w:rPr>
          <w:rStyle w:val="6"/>
          <w:rFonts w:hint="eastAsia" w:ascii="仿宋_GB2312" w:hAnsi="仿宋_GB2312" w:eastAsia="仿宋_GB2312" w:cs="仿宋_GB2312"/>
          <w:color w:val="000000"/>
          <w:sz w:val="32"/>
          <w:szCs w:val="32"/>
          <w:lang w:eastAsia="zh-CN"/>
        </w:rPr>
        <w:t>，发挥党建引领作用</w:t>
      </w:r>
      <w:r>
        <w:rPr>
          <w:rStyle w:val="6"/>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目标2：</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推动研产一体化发展，加强“产学研用”园区科创平台建设，加大力度帮扶科昂电子、中傲新瓷、华派光电、秦锐智能等多家企业的研发机构成果申报市级技术创新中心；支持晶环锆铪新材料省级工程技术中心完成采用新技术开发满足半导体用的高纯有机铪新材料。</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目标3：</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加快完善园区配套基础设施建设，推动原大健康产业园、阳城机械旁等地块“三通一平”工作；加快工业污水管网延伸工程（二期）和松山片区环境提升工程施工进度；进一步完善园区配套设施，加快完成综合体项目建设，并早日投入使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目标4：</w:t>
      </w:r>
      <w:r>
        <w:rPr>
          <w:rFonts w:hint="eastAsia" w:ascii="仿宋_GB2312" w:hAnsi="Times New Roman" w:eastAsia="仿宋_GB2312" w:cs="Times New Roman"/>
          <w:sz w:val="32"/>
          <w:szCs w:val="32"/>
        </w:rPr>
        <w:t>完善园区生活配套设施，装修园区高层次人才公寓32套</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rPr>
        <w:t>为入住专家提供“保姆式”服务。</w:t>
      </w:r>
      <w:r>
        <w:rPr>
          <w:rFonts w:hint="eastAsia" w:ascii="仿宋_GB2312" w:hAnsi="Times New Roman" w:eastAsia="仿宋_GB2312" w:cs="Times New Roman"/>
          <w:sz w:val="32"/>
          <w:szCs w:val="32"/>
        </w:rPr>
        <w:t>园区店面通过招商引进餐饮、诊所、超市等生活性服务业</w:t>
      </w:r>
      <w:r>
        <w:rPr>
          <w:rFonts w:hint="eastAsia" w:ascii="仿宋_GB2312" w:hAnsi="Times New Roman" w:eastAsia="仿宋_GB2312" w:cs="Times New Roman"/>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部门预算绩效管理开展情况。</w:t>
      </w:r>
    </w:p>
    <w:p>
      <w:pPr>
        <w:pStyle w:val="7"/>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严格按照文件要求，通过核对账目、座谈交流等方式，客观真实填报本单位2021年度整体支出绩效自评表;同时，评管互动，以评促管，做好单位整体支出绩效分析，撰写整体支出绩效评价自评报告。通过绩效自评，针对评价工作中发现的问题，提出下一步改进措施，进一步规范资金编制管理，强化责任意识，提高资金的使用效益。</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当年部门预算及执行情况</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年初县财政局批复我单位部门预算支出</w:t>
      </w:r>
      <w:r>
        <w:rPr>
          <w:rFonts w:hint="eastAsia" w:ascii="仿宋_GB2312" w:hAnsi="仿宋_GB2312" w:eastAsia="仿宋_GB2312" w:cs="仿宋_GB2312"/>
          <w:sz w:val="32"/>
          <w:szCs w:val="32"/>
          <w:highlight w:val="none"/>
          <w:lang w:val="en-US" w:eastAsia="zh-CN"/>
        </w:rPr>
        <w:t>716.93</w:t>
      </w:r>
      <w:r>
        <w:rPr>
          <w:rFonts w:hint="eastAsia" w:ascii="仿宋_GB2312" w:hAnsi="仿宋_GB2312" w:eastAsia="仿宋_GB2312" w:cs="仿宋_GB2312"/>
          <w:sz w:val="32"/>
          <w:szCs w:val="32"/>
          <w:highlight w:val="none"/>
        </w:rPr>
        <w:t>万元，年度预算调整</w:t>
      </w:r>
      <w:r>
        <w:rPr>
          <w:rFonts w:hint="eastAsia" w:ascii="仿宋_GB2312" w:hAnsi="仿宋_GB2312" w:eastAsia="仿宋_GB2312" w:cs="仿宋_GB2312"/>
          <w:sz w:val="32"/>
          <w:szCs w:val="32"/>
          <w:highlight w:val="none"/>
          <w:lang w:val="en-US" w:eastAsia="zh-CN"/>
        </w:rPr>
        <w:t>237.84</w:t>
      </w:r>
      <w:r>
        <w:rPr>
          <w:rFonts w:hint="eastAsia" w:ascii="仿宋_GB2312" w:hAnsi="仿宋_GB2312" w:eastAsia="仿宋_GB2312" w:cs="仿宋_GB2312"/>
          <w:sz w:val="32"/>
          <w:szCs w:val="32"/>
          <w:highlight w:val="none"/>
        </w:rPr>
        <w:t>元，调整后</w:t>
      </w:r>
      <w:r>
        <w:rPr>
          <w:rFonts w:hint="eastAsia" w:ascii="仿宋_GB2312" w:hAnsi="仿宋_GB2312" w:eastAsia="仿宋_GB2312" w:cs="仿宋_GB2312"/>
          <w:sz w:val="32"/>
          <w:szCs w:val="32"/>
          <w:highlight w:val="none"/>
          <w:lang w:val="en-US" w:eastAsia="zh-CN"/>
        </w:rPr>
        <w:t>954.77</w:t>
      </w:r>
      <w:r>
        <w:rPr>
          <w:rFonts w:hint="eastAsia" w:ascii="仿宋_GB2312" w:hAnsi="仿宋_GB2312" w:eastAsia="仿宋_GB2312" w:cs="仿宋_GB2312"/>
          <w:sz w:val="32"/>
          <w:szCs w:val="32"/>
          <w:highlight w:val="none"/>
        </w:rPr>
        <w:t>万元。当年实际完成收入</w:t>
      </w:r>
      <w:r>
        <w:rPr>
          <w:rFonts w:hint="eastAsia" w:ascii="仿宋_GB2312" w:hAnsi="仿宋_GB2312" w:eastAsia="仿宋_GB2312" w:cs="仿宋_GB2312"/>
          <w:sz w:val="32"/>
          <w:szCs w:val="32"/>
          <w:highlight w:val="none"/>
          <w:lang w:val="en-US" w:eastAsia="zh-CN"/>
        </w:rPr>
        <w:t>954.77</w:t>
      </w:r>
      <w:r>
        <w:rPr>
          <w:rFonts w:hint="eastAsia" w:ascii="仿宋_GB2312" w:hAnsi="仿宋_GB2312" w:eastAsia="仿宋_GB2312" w:cs="仿宋_GB2312"/>
          <w:sz w:val="32"/>
          <w:szCs w:val="32"/>
          <w:highlight w:val="none"/>
        </w:rPr>
        <w:t>万元；完成支出</w:t>
      </w:r>
      <w:r>
        <w:rPr>
          <w:rFonts w:hint="eastAsia" w:ascii="仿宋_GB2312" w:hAnsi="仿宋_GB2312" w:eastAsia="仿宋_GB2312" w:cs="仿宋_GB2312"/>
          <w:sz w:val="32"/>
          <w:szCs w:val="32"/>
          <w:highlight w:val="none"/>
          <w:lang w:val="en-US" w:eastAsia="zh-CN"/>
        </w:rPr>
        <w:t>980.75</w:t>
      </w:r>
      <w:r>
        <w:rPr>
          <w:rFonts w:hint="eastAsia" w:ascii="仿宋_GB2312" w:hAnsi="仿宋_GB2312" w:eastAsia="仿宋_GB2312" w:cs="仿宋_GB2312"/>
          <w:sz w:val="32"/>
          <w:szCs w:val="32"/>
          <w:highlight w:val="none"/>
        </w:rPr>
        <w:t>万元，其中工资福利支出</w:t>
      </w:r>
      <w:r>
        <w:rPr>
          <w:rFonts w:hint="eastAsia" w:ascii="仿宋_GB2312" w:hAnsi="仿宋_GB2312" w:eastAsia="仿宋_GB2312" w:cs="仿宋_GB2312"/>
          <w:sz w:val="32"/>
          <w:szCs w:val="32"/>
          <w:highlight w:val="none"/>
          <w:lang w:val="en-US" w:eastAsia="zh-CN"/>
        </w:rPr>
        <w:t>333.81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商品和服务</w:t>
      </w:r>
      <w:r>
        <w:rPr>
          <w:rFonts w:hint="eastAsia" w:ascii="仿宋_GB2312" w:hAnsi="仿宋_GB2312" w:eastAsia="仿宋_GB2312" w:cs="仿宋_GB2312"/>
          <w:sz w:val="32"/>
          <w:szCs w:val="32"/>
          <w:highlight w:val="none"/>
          <w:lang w:val="en-US" w:eastAsia="zh-CN"/>
        </w:rPr>
        <w:t>支出614.12万元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对个人和家庭的补助支出</w:t>
      </w:r>
      <w:r>
        <w:rPr>
          <w:rFonts w:hint="eastAsia" w:ascii="仿宋_GB2312" w:hAnsi="仿宋_GB2312" w:eastAsia="仿宋_GB2312" w:cs="仿宋_GB2312"/>
          <w:sz w:val="32"/>
          <w:szCs w:val="32"/>
          <w:highlight w:val="none"/>
          <w:lang w:val="en-US" w:eastAsia="zh-CN"/>
        </w:rPr>
        <w:t xml:space="preserve">10.63 </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资本性支出</w:t>
      </w:r>
      <w:r>
        <w:rPr>
          <w:rFonts w:hint="eastAsia" w:ascii="仿宋_GB2312" w:hAnsi="仿宋_GB2312" w:eastAsia="仿宋_GB2312" w:cs="仿宋_GB2312"/>
          <w:sz w:val="32"/>
          <w:szCs w:val="32"/>
          <w:highlight w:val="none"/>
          <w:lang w:val="en-US" w:eastAsia="zh-CN"/>
        </w:rPr>
        <w:t>11.52万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rPr>
        <w:t>；年底结余</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万元，其中基本支出结余</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万元、项目结余</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万元。部门预算支出与决算的差异总额为</w:t>
      </w:r>
      <w:r>
        <w:rPr>
          <w:rFonts w:hint="eastAsia" w:ascii="仿宋_GB2312" w:hAnsi="仿宋_GB2312" w:eastAsia="仿宋_GB2312" w:cs="仿宋_GB2312"/>
          <w:sz w:val="32"/>
          <w:szCs w:val="32"/>
          <w:highlight w:val="none"/>
          <w:lang w:val="en-US" w:eastAsia="zh-CN"/>
        </w:rPr>
        <w:t>-237.84</w:t>
      </w:r>
      <w:r>
        <w:rPr>
          <w:rFonts w:hint="eastAsia" w:ascii="仿宋_GB2312" w:hAnsi="仿宋_GB2312" w:eastAsia="仿宋_GB2312" w:cs="仿宋_GB2312"/>
          <w:sz w:val="32"/>
          <w:szCs w:val="32"/>
          <w:highlight w:val="none"/>
        </w:rPr>
        <w:t>万元，差异的具体情况及原因见下表</w:t>
      </w:r>
      <w:r>
        <w:rPr>
          <w:rFonts w:hint="eastAsia" w:ascii="仿宋_GB2312" w:hAnsi="仿宋_GB2312" w:eastAsia="仿宋_GB2312" w:cs="仿宋_GB2312"/>
          <w:sz w:val="32"/>
          <w:szCs w:val="32"/>
          <w:highlight w:val="none"/>
          <w:lang w:val="en-US" w:eastAsia="zh-CN"/>
        </w:rPr>
        <w:t>:</w:t>
      </w:r>
    </w:p>
    <w:tbl>
      <w:tblPr>
        <w:tblStyle w:val="4"/>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lang w:eastAsia="zh-CN"/>
              </w:rPr>
              <w:t>工业园管委会</w:t>
            </w:r>
            <w:r>
              <w:rPr>
                <w:rFonts w:hint="eastAsia" w:ascii="仿宋_GB2312" w:hAnsi="仿宋_GB2312" w:eastAsia="仿宋_GB2312" w:cs="仿宋_GB2312"/>
                <w:b/>
                <w:bCs/>
                <w:kern w:val="0"/>
                <w:sz w:val="32"/>
                <w:szCs w:val="32"/>
                <w:highlight w:val="none"/>
              </w:rPr>
              <w:t>20</w:t>
            </w:r>
            <w:r>
              <w:rPr>
                <w:rFonts w:hint="eastAsia" w:ascii="仿宋_GB2312" w:hAnsi="仿宋_GB2312" w:eastAsia="仿宋_GB2312" w:cs="仿宋_GB2312"/>
                <w:b/>
                <w:bCs/>
                <w:kern w:val="0"/>
                <w:sz w:val="32"/>
                <w:szCs w:val="32"/>
                <w:highlight w:val="none"/>
                <w:lang w:val="en-US" w:eastAsia="zh-CN"/>
              </w:rPr>
              <w:t>21</w:t>
            </w:r>
            <w:r>
              <w:rPr>
                <w:rFonts w:hint="eastAsia" w:ascii="仿宋_GB2312" w:hAnsi="仿宋_GB2312" w:eastAsia="仿宋_GB2312" w:cs="仿宋_GB2312"/>
                <w:b/>
                <w:bCs/>
                <w:kern w:val="0"/>
                <w:sz w:val="32"/>
                <w:szCs w:val="32"/>
                <w:highlight w:val="none"/>
              </w:rPr>
              <w:t>年度财政拨款预算执行总体情况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Cs w:val="21"/>
                <w:highlight w:val="none"/>
              </w:rPr>
            </w:pPr>
          </w:p>
        </w:tc>
        <w:tc>
          <w:tcPr>
            <w:tcW w:w="1501"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Cs w:val="21"/>
                <w:highlight w:val="none"/>
              </w:rPr>
            </w:pPr>
          </w:p>
        </w:tc>
        <w:tc>
          <w:tcPr>
            <w:tcW w:w="144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Cs w:val="21"/>
                <w:highlight w:val="none"/>
              </w:rPr>
            </w:pPr>
          </w:p>
        </w:tc>
        <w:tc>
          <w:tcPr>
            <w:tcW w:w="150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Cs w:val="21"/>
                <w:highlight w:val="none"/>
              </w:rPr>
            </w:pPr>
          </w:p>
        </w:tc>
        <w:tc>
          <w:tcPr>
            <w:tcW w:w="1395"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单位：</w:t>
            </w:r>
            <w:r>
              <w:rPr>
                <w:rFonts w:hint="eastAsia" w:ascii="仿宋_GB2312" w:hAnsi="仿宋_GB2312" w:eastAsia="仿宋_GB2312" w:cs="仿宋_GB2312"/>
                <w:kern w:val="0"/>
                <w:szCs w:val="21"/>
                <w:highlight w:val="none"/>
                <w:lang w:eastAsia="zh-CN"/>
              </w:rPr>
              <w:t>万</w:t>
            </w:r>
            <w:r>
              <w:rPr>
                <w:rFonts w:hint="eastAsia" w:ascii="仿宋_GB2312" w:hAnsi="仿宋_GB2312" w:eastAsia="仿宋_GB2312" w:cs="仿宋_GB2312"/>
                <w:kern w:val="0"/>
                <w:szCs w:val="21"/>
                <w:highlight w:val="none"/>
              </w:rPr>
              <w:t>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项目</w:t>
            </w:r>
          </w:p>
        </w:tc>
        <w:tc>
          <w:tcPr>
            <w:tcW w:w="15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小计</w:t>
            </w:r>
          </w:p>
        </w:tc>
        <w:tc>
          <w:tcPr>
            <w:tcW w:w="29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基本支出</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Cs w:val="21"/>
                <w:highlight w:val="none"/>
              </w:rPr>
            </w:pPr>
          </w:p>
        </w:tc>
        <w:tc>
          <w:tcPr>
            <w:tcW w:w="15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p>
        </w:tc>
        <w:tc>
          <w:tcPr>
            <w:tcW w:w="14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人员经费</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公用经费</w:t>
            </w: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预算数</w:t>
            </w:r>
          </w:p>
        </w:tc>
        <w:tc>
          <w:tcPr>
            <w:tcW w:w="1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716.93</w:t>
            </w:r>
          </w:p>
        </w:tc>
        <w:tc>
          <w:tcPr>
            <w:tcW w:w="144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477.95</w:t>
            </w:r>
          </w:p>
        </w:tc>
        <w:tc>
          <w:tcPr>
            <w:tcW w:w="150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238.98</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lang w:eastAsia="zh-CN"/>
              </w:rPr>
              <w:t>决算</w:t>
            </w:r>
            <w:r>
              <w:rPr>
                <w:rFonts w:hint="eastAsia" w:ascii="仿宋_GB2312" w:hAnsi="仿宋_GB2312" w:eastAsia="仿宋_GB2312" w:cs="仿宋_GB2312"/>
                <w:kern w:val="0"/>
                <w:szCs w:val="21"/>
                <w:highlight w:val="none"/>
              </w:rPr>
              <w:t>数</w:t>
            </w:r>
          </w:p>
        </w:tc>
        <w:tc>
          <w:tcPr>
            <w:tcW w:w="1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954.77</w:t>
            </w:r>
          </w:p>
        </w:tc>
        <w:tc>
          <w:tcPr>
            <w:tcW w:w="144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344.44</w:t>
            </w:r>
          </w:p>
        </w:tc>
        <w:tc>
          <w:tcPr>
            <w:tcW w:w="150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636.30</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预</w:t>
            </w:r>
            <w:r>
              <w:rPr>
                <w:rFonts w:hint="eastAsia" w:ascii="仿宋_GB2312" w:hAnsi="仿宋_GB2312" w:eastAsia="仿宋_GB2312" w:cs="仿宋_GB2312"/>
                <w:kern w:val="0"/>
                <w:szCs w:val="21"/>
                <w:highlight w:val="none"/>
                <w:lang w:eastAsia="zh-CN"/>
              </w:rPr>
              <w:t>决</w:t>
            </w:r>
            <w:r>
              <w:rPr>
                <w:rFonts w:hint="eastAsia" w:ascii="仿宋_GB2312" w:hAnsi="仿宋_GB2312" w:eastAsia="仿宋_GB2312" w:cs="仿宋_GB2312"/>
                <w:kern w:val="0"/>
                <w:szCs w:val="21"/>
                <w:highlight w:val="none"/>
              </w:rPr>
              <w:t>算的差异数</w:t>
            </w:r>
          </w:p>
        </w:tc>
        <w:tc>
          <w:tcPr>
            <w:tcW w:w="1501"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-237.84</w:t>
            </w:r>
          </w:p>
        </w:tc>
        <w:tc>
          <w:tcPr>
            <w:tcW w:w="144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133.51</w:t>
            </w:r>
          </w:p>
        </w:tc>
        <w:tc>
          <w:tcPr>
            <w:tcW w:w="150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-397.32</w:t>
            </w:r>
          </w:p>
        </w:tc>
        <w:tc>
          <w:tcPr>
            <w:tcW w:w="1395"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Cs w:val="21"/>
                <w:highlight w:val="none"/>
                <w:lang w:val="en-US" w:eastAsia="zh-CN"/>
              </w:rPr>
            </w:pPr>
            <w:r>
              <w:rPr>
                <w:rFonts w:hint="eastAsia" w:ascii="仿宋_GB2312" w:hAnsi="仿宋_GB2312" w:eastAsia="仿宋_GB2312" w:cs="仿宋_GB2312"/>
                <w:kern w:val="0"/>
                <w:szCs w:val="21"/>
                <w:highlight w:val="none"/>
                <w:lang w:val="en-US" w:eastAsia="zh-CN"/>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差异原因主要是：</w:t>
            </w:r>
            <w:r>
              <w:rPr>
                <w:rFonts w:hint="eastAsia" w:ascii="仿宋_GB2312" w:hAnsi="仿宋_GB2312" w:eastAsia="仿宋_GB2312" w:cs="仿宋_GB2312"/>
                <w:kern w:val="0"/>
                <w:sz w:val="21"/>
                <w:szCs w:val="21"/>
                <w:highlight w:val="none"/>
              </w:rPr>
              <w:t>（</w:t>
            </w:r>
            <w:r>
              <w:rPr>
                <w:rFonts w:hint="eastAsia" w:ascii="仿宋_GB2312" w:hAnsi="仿宋_GB2312" w:eastAsia="仿宋_GB2312" w:cs="仿宋_GB2312"/>
                <w:kern w:val="0"/>
                <w:sz w:val="21"/>
                <w:szCs w:val="21"/>
                <w:highlight w:val="none"/>
                <w:lang w:eastAsia="zh-CN"/>
              </w:rPr>
              <w:t>机构改革，单位合并，人员变动等情况，</w:t>
            </w:r>
            <w:r>
              <w:rPr>
                <w:rFonts w:hint="eastAsia" w:ascii="仿宋_GB2312" w:hAnsi="仿宋_GB2312" w:eastAsia="仿宋_GB2312" w:cs="仿宋_GB2312"/>
                <w:kern w:val="0"/>
                <w:sz w:val="21"/>
                <w:szCs w:val="21"/>
                <w:highlight w:val="none"/>
                <w:lang w:val="en-US" w:eastAsia="zh-CN"/>
              </w:rPr>
              <w:t>导致差异大</w:t>
            </w:r>
            <w:r>
              <w:rPr>
                <w:rFonts w:hint="eastAsia" w:ascii="仿宋_GB2312" w:hAnsi="仿宋_GB2312" w:eastAsia="仿宋_GB2312" w:cs="仿宋_GB2312"/>
                <w:kern w:val="0"/>
                <w:sz w:val="21"/>
                <w:szCs w:val="21"/>
                <w:highlight w:val="none"/>
              </w:rPr>
              <w:t>）</w:t>
            </w:r>
          </w:p>
        </w:tc>
      </w:tr>
    </w:tbl>
    <w:p>
      <w:pPr>
        <w:pStyle w:val="7"/>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）基本支出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2021年本单位基本支出980.75万元，包括</w:t>
      </w:r>
      <w:r>
        <w:rPr>
          <w:rFonts w:hint="eastAsia" w:ascii="仿宋_GB2312" w:hAnsi="仿宋_GB2312" w:eastAsia="仿宋_GB2312" w:cs="仿宋_GB2312"/>
          <w:sz w:val="32"/>
          <w:szCs w:val="32"/>
          <w:highlight w:val="none"/>
        </w:rPr>
        <w:t>：工资福利支出</w:t>
      </w:r>
      <w:r>
        <w:rPr>
          <w:rFonts w:hint="eastAsia" w:ascii="仿宋_GB2312" w:hAnsi="仿宋_GB2312" w:eastAsia="仿宋_GB2312" w:cs="仿宋_GB2312"/>
          <w:sz w:val="32"/>
          <w:szCs w:val="32"/>
          <w:highlight w:val="none"/>
          <w:lang w:val="en-US" w:eastAsia="zh-CN"/>
        </w:rPr>
        <w:t>333.81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商品和服务支出</w:t>
      </w:r>
      <w:r>
        <w:rPr>
          <w:rFonts w:hint="eastAsia" w:ascii="仿宋_GB2312" w:hAnsi="仿宋_GB2312" w:eastAsia="仿宋_GB2312" w:cs="仿宋_GB2312"/>
          <w:sz w:val="32"/>
          <w:szCs w:val="32"/>
          <w:highlight w:val="none"/>
          <w:lang w:val="en-US" w:eastAsia="zh-CN"/>
        </w:rPr>
        <w:t>614.12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对个人和家庭的补助支出</w:t>
      </w:r>
      <w:r>
        <w:rPr>
          <w:rFonts w:hint="eastAsia" w:ascii="仿宋_GB2312" w:hAnsi="仿宋_GB2312" w:eastAsia="仿宋_GB2312" w:cs="仿宋_GB2312"/>
          <w:sz w:val="32"/>
          <w:szCs w:val="32"/>
          <w:highlight w:val="none"/>
          <w:lang w:val="en-US" w:eastAsia="zh-CN"/>
        </w:rPr>
        <w:t>10.63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，其他资本性支出</w:t>
      </w:r>
      <w:r>
        <w:rPr>
          <w:rFonts w:hint="eastAsia" w:ascii="仿宋_GB2312" w:hAnsi="仿宋_GB2312" w:eastAsia="仿宋_GB2312" w:cs="仿宋_GB2312"/>
          <w:sz w:val="32"/>
          <w:szCs w:val="32"/>
          <w:highlight w:val="none"/>
          <w:lang w:val="en-US" w:eastAsia="zh-CN"/>
        </w:rPr>
        <w:t>11.52</w:t>
      </w:r>
      <w:r>
        <w:rPr>
          <w:rFonts w:hint="eastAsia" w:ascii="仿宋_GB2312" w:hAnsi="仿宋_GB2312" w:eastAsia="仿宋_GB2312" w:cs="仿宋_GB2312"/>
          <w:sz w:val="32"/>
          <w:szCs w:val="32"/>
          <w:highlight w:val="none"/>
          <w:lang w:eastAsia="zh-CN"/>
        </w:rPr>
        <w:t>万元，对企业补助</w:t>
      </w:r>
      <w:r>
        <w:rPr>
          <w:rFonts w:hint="eastAsia" w:ascii="仿宋_GB2312" w:hAnsi="仿宋_GB2312" w:eastAsia="仿宋_GB2312" w:cs="仿宋_GB2312"/>
          <w:sz w:val="32"/>
          <w:szCs w:val="32"/>
          <w:highlight w:val="none"/>
          <w:lang w:val="en-US" w:eastAsia="zh-CN"/>
        </w:rPr>
        <w:t>10.66万元</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年度“三公”经费支出年初预算数为</w:t>
      </w:r>
      <w:r>
        <w:rPr>
          <w:rFonts w:hint="eastAsia" w:ascii="仿宋_GB2312" w:hAnsi="仿宋_GB2312" w:eastAsia="仿宋_GB2312" w:cs="仿宋_GB2312"/>
          <w:sz w:val="32"/>
          <w:szCs w:val="32"/>
          <w:highlight w:val="none"/>
          <w:lang w:val="en-US" w:eastAsia="zh-CN"/>
        </w:rPr>
        <w:t>5.7715</w:t>
      </w:r>
      <w:r>
        <w:rPr>
          <w:rFonts w:hint="eastAsia" w:ascii="仿宋_GB2312" w:hAnsi="仿宋_GB2312" w:eastAsia="仿宋_GB2312" w:cs="仿宋_GB2312"/>
          <w:sz w:val="32"/>
          <w:szCs w:val="32"/>
          <w:highlight w:val="none"/>
        </w:rPr>
        <w:t>万元，决算数为</w:t>
      </w:r>
      <w:r>
        <w:rPr>
          <w:rFonts w:hint="eastAsia" w:ascii="仿宋_GB2312" w:hAnsi="仿宋_GB2312" w:eastAsia="仿宋_GB2312" w:cs="仿宋_GB2312"/>
          <w:sz w:val="32"/>
          <w:szCs w:val="32"/>
          <w:highlight w:val="none"/>
          <w:lang w:val="en-US" w:eastAsia="zh-CN"/>
        </w:rPr>
        <w:t>5.5015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sz w:val="32"/>
          <w:szCs w:val="32"/>
          <w:highlight w:val="none"/>
        </w:rPr>
        <w:t>“三公”经费决算数</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0.5015万元。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本单位2021年培训费为2.234万元，较上年增加100%，会议费为3.145万元，较上年增加2.85万元。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所有资金使用严格执行有关政策规定，做到账证相符、账实相符、账表相符、表表相符。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）项目支出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2021年项目支出0万元。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我单位严格按照项目资金相关管理规定和政策，严格监督和监管资金的使用和拨付，实行专人管理、专款核算，确保专款专用。我单位根据项目计划和进度申请拨付使用资金，按照报账资金核算管理的要求，坚持履行规定的程序和手续，分期拨款、单据送审、办理报账，接受上级部门对资金使用情况的跟踪监督检查，确保项目资金使用安全有效，确保配套资金运行安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二、部门整体支出绩效实现情况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（一）履职完成情况：从数量、质量、时效等方面归纳反映年度主要计划任务完成情况。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bCs/>
          <w:i w:val="0"/>
          <w:caps w:val="0"/>
          <w:color w:val="000000"/>
          <w:spacing w:val="0"/>
          <w:w w:val="100"/>
          <w:kern w:val="2"/>
          <w:sz w:val="32"/>
          <w:szCs w:val="32"/>
          <w:lang w:val="en-US" w:eastAsia="zh-CN" w:bidi="ar-SA"/>
        </w:rPr>
        <w:t>（1）园区工业经济快速增长。</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工业园区纳入省统计工业企业100户，其中规模以上工业企业55户。2021年1-10月份：规模以上工业企业实现营业收入53.78亿元，同比增长45.30%；基础设施投入累计达10.5857亿元，同比增长25.24 %；预计1-12月份，规模以上工业企业实现营业收入67.90亿元，同比增长45.30%。首位产业电子信息规模以上工业企业28家，营业收入34.99亿元，同比增长90%，占园区规模以上工业企业比重51.51%。</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bCs/>
          <w:i w:val="0"/>
          <w:caps w:val="0"/>
          <w:color w:val="000000"/>
          <w:spacing w:val="0"/>
          <w:w w:val="100"/>
          <w:kern w:val="2"/>
          <w:sz w:val="32"/>
          <w:szCs w:val="32"/>
          <w:lang w:val="en-US" w:eastAsia="zh-CN" w:bidi="ar-SA"/>
        </w:rPr>
        <w:t>（2）园区服务水平显著提升。</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通过以商招商、外出招商、强链补链等，推进产学研用园区“满园扩园”行动，已入驻企业12家，入驻率达80%以上；切实解决企业融资困难，截止11月底通过“财园信贷通”为56家企业新增（继贷）发放贷款30897万元；通过党群服务中心为企业代办相关的行政审批事项，努力实现“园区事园内办结”；</w:t>
      </w: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做好园区相关数据收集把关和上报工作，确保全省创先争优工作排位靠前。</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bCs/>
          <w:i w:val="0"/>
          <w:caps w:val="0"/>
          <w:color w:val="000000"/>
          <w:spacing w:val="0"/>
          <w:w w:val="100"/>
          <w:kern w:val="2"/>
          <w:sz w:val="32"/>
          <w:szCs w:val="32"/>
          <w:lang w:val="en-US" w:eastAsia="zh-CN" w:bidi="ar-SA"/>
        </w:rPr>
        <w:t>（3）园区基础设施建设进一步完善。</w:t>
      </w: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返乡创业基地标准化厂房建设项目（二期）基本建成，其中6栋厂房、办公楼和宿舍楼已建成即将投入使用，综合体16层主体结构已封顶，附属楼装修已完成；黄龙大桥安置点6号楼56套人才住房已入住51套，34间店铺已入驻夜宵、诊所、超市、早餐等商业；基本实现园区公交全覆盖。新建公交站台9座，共14座，增投公交车7辆，开通5路、6路公交线路；积极推进调区工作，已确定调调区方案和正在编制9个相关报告，现已完成6个文本初稿；完成了镇仔工业园首期用地500亩的建设方案、地形测量、施工图设计和预算编制等工作，并报请县委、县政府批准实施，即将开工建设。大力整治环境卫生。对乱堆乱放、乱搭乱建等问题专项清理整治，园区环境面貌得到极大改善。</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Style w:val="6"/>
          <w:rFonts w:hint="eastAsia" w:ascii="仿宋_GB2312" w:hAnsi="仿宋_GB2312" w:eastAsia="仿宋_GB2312" w:cs="仿宋_GB2312"/>
          <w:b/>
          <w:bCs/>
          <w:i w:val="0"/>
          <w:caps w:val="0"/>
          <w:color w:val="000000"/>
          <w:spacing w:val="0"/>
          <w:w w:val="100"/>
          <w:kern w:val="2"/>
          <w:sz w:val="32"/>
          <w:szCs w:val="32"/>
          <w:lang w:val="en-US" w:eastAsia="zh-CN" w:bidi="ar-SA"/>
        </w:rPr>
      </w:pPr>
      <w:r>
        <w:rPr>
          <w:rStyle w:val="6"/>
          <w:rFonts w:hint="eastAsia" w:ascii="仿宋_GB2312" w:hAnsi="仿宋_GB2312" w:eastAsia="仿宋_GB2312" w:cs="仿宋_GB2312"/>
          <w:b/>
          <w:bCs/>
          <w:i w:val="0"/>
          <w:caps w:val="0"/>
          <w:color w:val="000000"/>
          <w:spacing w:val="0"/>
          <w:w w:val="100"/>
          <w:kern w:val="2"/>
          <w:sz w:val="32"/>
          <w:szCs w:val="32"/>
          <w:lang w:val="en-US" w:eastAsia="zh-CN" w:bidi="ar-SA"/>
        </w:rPr>
        <w:t>（4）园区属地管理职责更加突显</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color w:val="000000"/>
          <w:sz w:val="32"/>
          <w:szCs w:val="32"/>
        </w:rPr>
        <w:t>基层党建</w:t>
      </w:r>
      <w:r>
        <w:rPr>
          <w:rStyle w:val="6"/>
          <w:rFonts w:hint="eastAsia" w:ascii="仿宋_GB2312" w:hAnsi="仿宋_GB2312" w:eastAsia="仿宋_GB2312" w:cs="仿宋_GB2312"/>
          <w:b w:val="0"/>
          <w:bCs w:val="0"/>
          <w:color w:val="000000"/>
          <w:sz w:val="32"/>
          <w:szCs w:val="32"/>
          <w:lang w:eastAsia="zh-CN"/>
        </w:rPr>
        <w:t>工作</w:t>
      </w:r>
      <w:r>
        <w:rPr>
          <w:rStyle w:val="6"/>
          <w:rFonts w:hint="eastAsia" w:ascii="仿宋_GB2312" w:hAnsi="仿宋_GB2312" w:eastAsia="仿宋_GB2312" w:cs="仿宋_GB2312"/>
          <w:b/>
          <w:bCs/>
          <w:color w:val="000000"/>
          <w:sz w:val="32"/>
          <w:szCs w:val="32"/>
          <w:lang w:eastAsia="zh-CN"/>
        </w:rPr>
        <w:t>。</w:t>
      </w:r>
      <w:r>
        <w:rPr>
          <w:rStyle w:val="6"/>
          <w:rFonts w:hint="eastAsia" w:ascii="仿宋_GB2312" w:hAnsi="仿宋_GB2312" w:eastAsia="仿宋_GB2312" w:cs="仿宋_GB2312"/>
          <w:b w:val="0"/>
          <w:bCs w:val="0"/>
          <w:color w:val="000000"/>
          <w:sz w:val="32"/>
          <w:szCs w:val="32"/>
          <w:lang w:eastAsia="zh-CN"/>
        </w:rPr>
        <w:t>以开展</w:t>
      </w:r>
      <w:r>
        <w:rPr>
          <w:rStyle w:val="6"/>
          <w:rFonts w:hint="eastAsia" w:ascii="仿宋_GB2312" w:hAnsi="仿宋_GB2312" w:eastAsia="仿宋_GB2312" w:cs="仿宋_GB2312"/>
          <w:b w:val="0"/>
          <w:bCs w:val="0"/>
          <w:color w:val="000000"/>
          <w:sz w:val="32"/>
          <w:szCs w:val="32"/>
        </w:rPr>
        <w:t>“三化”建设提质增效和质量过硬</w:t>
      </w:r>
      <w:r>
        <w:rPr>
          <w:rStyle w:val="6"/>
          <w:rFonts w:hint="eastAsia" w:ascii="仿宋_GB2312" w:hAnsi="仿宋_GB2312" w:eastAsia="仿宋_GB2312" w:cs="仿宋_GB2312"/>
          <w:b w:val="0"/>
          <w:bCs w:val="0"/>
          <w:color w:val="000000"/>
          <w:sz w:val="32"/>
          <w:szCs w:val="32"/>
          <w:lang w:eastAsia="zh-CN"/>
        </w:rPr>
        <w:t>活动为契机，狠抓了基层党建工作。</w:t>
      </w:r>
      <w:r>
        <w:rPr>
          <w:rStyle w:val="6"/>
          <w:rFonts w:hint="eastAsia" w:ascii="仿宋_GB2312" w:hAnsi="仿宋_GB2312" w:eastAsia="仿宋_GB2312" w:cs="仿宋_GB2312"/>
          <w:color w:val="000000"/>
          <w:sz w:val="32"/>
          <w:szCs w:val="32"/>
          <w:lang w:eastAsia="zh-CN"/>
        </w:rPr>
        <w:t>加强党建教育，</w:t>
      </w:r>
      <w:r>
        <w:rPr>
          <w:rStyle w:val="6"/>
          <w:rFonts w:hint="eastAsia" w:ascii="仿宋_GB2312" w:hAnsi="仿宋_GB2312" w:eastAsia="仿宋_GB2312" w:cs="仿宋_GB2312"/>
          <w:color w:val="000000"/>
          <w:sz w:val="32"/>
          <w:szCs w:val="32"/>
        </w:rPr>
        <w:t>对园区非公企业党组织书记、党建指导员开展了4期党建工作业务知识培训</w:t>
      </w:r>
      <w:r>
        <w:rPr>
          <w:rStyle w:val="6"/>
          <w:rFonts w:hint="eastAsia" w:ascii="仿宋_GB2312" w:hAnsi="仿宋_GB2312" w:eastAsia="仿宋_GB2312" w:cs="仿宋_GB2312"/>
          <w:color w:val="000000"/>
          <w:sz w:val="32"/>
          <w:szCs w:val="32"/>
          <w:lang w:val="en-US" w:eastAsia="zh-CN"/>
        </w:rPr>
        <w:t>;</w:t>
      </w:r>
      <w:r>
        <w:rPr>
          <w:rStyle w:val="6"/>
          <w:rFonts w:hint="eastAsia" w:ascii="仿宋_GB2312" w:hAnsi="仿宋_GB2312" w:eastAsia="仿宋_GB2312" w:cs="仿宋_GB2312"/>
          <w:color w:val="000000"/>
          <w:sz w:val="32"/>
          <w:szCs w:val="32"/>
          <w:lang w:eastAsia="zh-CN"/>
        </w:rPr>
        <w:t>开展党建活动，认真落实了“三会一课”、“一章一表”、党性体检等工作；创建党建品牌，</w:t>
      </w:r>
      <w:r>
        <w:rPr>
          <w:rStyle w:val="6"/>
          <w:rFonts w:hint="eastAsia" w:ascii="仿宋_GB2312" w:hAnsi="仿宋_GB2312" w:eastAsia="仿宋_GB2312" w:cs="仿宋_GB2312"/>
          <w:color w:val="000000"/>
          <w:sz w:val="32"/>
          <w:szCs w:val="32"/>
        </w:rPr>
        <w:t>深入开展党史学习教育。树牢“联学共建”党史学习教育品牌，深入开展“我为企业办实事”活动，共为企业</w:t>
      </w:r>
      <w:r>
        <w:rPr>
          <w:rStyle w:val="6"/>
          <w:rFonts w:hint="eastAsia" w:ascii="仿宋_GB2312" w:hAnsi="仿宋_GB2312" w:eastAsia="仿宋_GB2312" w:cs="仿宋_GB2312"/>
          <w:color w:val="000000"/>
          <w:sz w:val="32"/>
          <w:szCs w:val="32"/>
          <w:lang w:eastAsia="zh-CN"/>
        </w:rPr>
        <w:t>办理</w:t>
      </w:r>
      <w:r>
        <w:rPr>
          <w:rStyle w:val="6"/>
          <w:rFonts w:hint="eastAsia" w:ascii="仿宋_GB2312" w:hAnsi="仿宋_GB2312" w:eastAsia="仿宋_GB2312" w:cs="仿宋_GB2312"/>
          <w:color w:val="000000"/>
          <w:sz w:val="32"/>
          <w:szCs w:val="32"/>
        </w:rPr>
        <w:t>好事实事62件。</w:t>
      </w:r>
      <w:r>
        <w:rPr>
          <w:rStyle w:val="6"/>
          <w:rFonts w:hint="eastAsia" w:ascii="仿宋_GB2312" w:hAnsi="仿宋_GB2312" w:eastAsia="仿宋_GB2312" w:cs="仿宋_GB2312"/>
          <w:color w:val="000000"/>
          <w:sz w:val="32"/>
          <w:szCs w:val="32"/>
          <w:lang w:eastAsia="zh-CN"/>
        </w:rPr>
        <w:t>一年来，</w:t>
      </w:r>
      <w:r>
        <w:rPr>
          <w:rStyle w:val="6"/>
          <w:rFonts w:hint="eastAsia" w:ascii="仿宋_GB2312" w:hAnsi="仿宋_GB2312" w:eastAsia="仿宋_GB2312" w:cs="仿宋_GB2312"/>
          <w:color w:val="000000"/>
          <w:sz w:val="32"/>
          <w:szCs w:val="32"/>
        </w:rPr>
        <w:t>发展4名新党员</w:t>
      </w:r>
      <w:r>
        <w:rPr>
          <w:rStyle w:val="6"/>
          <w:rFonts w:hint="eastAsia" w:ascii="仿宋_GB2312" w:hAnsi="仿宋_GB2312" w:eastAsia="仿宋_GB2312" w:cs="仿宋_GB2312"/>
          <w:color w:val="000000"/>
          <w:sz w:val="32"/>
          <w:szCs w:val="32"/>
          <w:lang w:eastAsia="zh-CN"/>
        </w:rPr>
        <w:t>、入党</w:t>
      </w:r>
      <w:r>
        <w:rPr>
          <w:rStyle w:val="6"/>
          <w:rFonts w:hint="eastAsia" w:ascii="仿宋_GB2312" w:hAnsi="仿宋_GB2312" w:eastAsia="仿宋_GB2312" w:cs="仿宋_GB2312"/>
          <w:color w:val="000000"/>
          <w:sz w:val="32"/>
          <w:szCs w:val="32"/>
        </w:rPr>
        <w:t>对象6名</w:t>
      </w:r>
      <w:r>
        <w:rPr>
          <w:rStyle w:val="6"/>
          <w:rFonts w:hint="eastAsia" w:ascii="仿宋_GB2312" w:hAnsi="仿宋_GB2312" w:eastAsia="仿宋_GB2312" w:cs="仿宋_GB2312"/>
          <w:color w:val="000000"/>
          <w:sz w:val="32"/>
          <w:szCs w:val="32"/>
          <w:lang w:eastAsia="zh-CN"/>
        </w:rPr>
        <w:t>和</w:t>
      </w:r>
      <w:r>
        <w:rPr>
          <w:rStyle w:val="6"/>
          <w:rFonts w:hint="eastAsia" w:ascii="仿宋_GB2312" w:hAnsi="仿宋_GB2312" w:eastAsia="仿宋_GB2312" w:cs="仿宋_GB2312"/>
          <w:color w:val="000000"/>
          <w:sz w:val="32"/>
          <w:szCs w:val="32"/>
        </w:rPr>
        <w:t>培养入党积极分子36名</w:t>
      </w:r>
      <w:r>
        <w:rPr>
          <w:rStyle w:val="6"/>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bCs/>
          <w:i w:val="0"/>
          <w:caps w:val="0"/>
          <w:color w:val="000000"/>
          <w:spacing w:val="0"/>
          <w:w w:val="100"/>
          <w:kern w:val="2"/>
          <w:sz w:val="32"/>
          <w:szCs w:val="32"/>
          <w:lang w:val="en-US" w:eastAsia="zh-CN" w:bidi="ar-SA"/>
        </w:rPr>
        <w:t>　　</w:t>
      </w: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园区信访维稳工作。通过日常走访，及时了解掌握各类矛盾纠纷，并积极主动组织人员化解，今年共调处</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信访案件2件，满意度为100%。</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园区安全生产工作。以安全生产专项整治＂三年行动＂、“十大攻坚战＂、“安全生产月”等活动为抓手，积极做好园区企业</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安全生产属地管理工作，园区安全生产形势总体平稳。一年来，共发放宣传资料1.3万余份，开展安全知识教育培训5次，开展消防应急演练8次，签订安全生产主体责任承诺书70余份，排查整改安全隐患36个，</w:t>
      </w:r>
      <w:r>
        <w:rPr>
          <w:rStyle w:val="9"/>
          <w:rFonts w:hint="eastAsia" w:ascii="仿宋_GB2312" w:hAnsi="仿宋_GB2312" w:eastAsia="仿宋_GB2312" w:cs="仿宋_GB2312"/>
          <w:b w:val="0"/>
          <w:i w:val="0"/>
          <w:caps w:val="0"/>
          <w:color w:val="000000"/>
          <w:spacing w:val="0"/>
          <w:w w:val="100"/>
          <w:kern w:val="2"/>
          <w:sz w:val="32"/>
          <w:szCs w:val="32"/>
          <w:lang w:val="en-US" w:eastAsia="zh-CN" w:bidi="ar-SA"/>
        </w:rPr>
        <w:t>发放整改通知书6份</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园区环境保护工作。完成了</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《江西全南工业园区突发环境事件应急预案》的编制和园区雨水总排口在线监控设施安装调试；切实提升园区生态环境，开展了园区部分路段的绿化提升工程。</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疫情防控工作。常态化开展疫情防控工作，做好中高风险地区来（返）县人员排查、管控和企业宣传疫苗接种等工作，共完成了9300人的疫苗接种。同时，在园区晶阳光电、三扬电子设立两个核酸检测点，并做好了场所布置、物资储备等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sz w:val="32"/>
          <w:szCs w:val="32"/>
        </w:rPr>
      </w:pPr>
      <w:r>
        <w:rPr>
          <w:rStyle w:val="6"/>
          <w:rFonts w:hint="eastAsia" w:ascii="仿宋_GB2312" w:hAnsi="仿宋_GB2312" w:eastAsia="仿宋_GB2312" w:cs="仿宋_GB2312"/>
          <w:b w:val="0"/>
          <w:bCs w:val="0"/>
          <w:i w:val="0"/>
          <w:caps w:val="0"/>
          <w:color w:val="000000"/>
          <w:spacing w:val="0"/>
          <w:w w:val="100"/>
          <w:kern w:val="2"/>
          <w:sz w:val="32"/>
          <w:szCs w:val="32"/>
          <w:lang w:val="en-US" w:eastAsia="zh-CN" w:bidi="ar-SA"/>
        </w:rPr>
        <w:t>乡村振兴工作。</w:t>
      </w:r>
      <w:r>
        <w:rPr>
          <w:rStyle w:val="6"/>
          <w:rFonts w:hint="eastAsia" w:ascii="仿宋_GB2312" w:hAnsi="仿宋_GB2312" w:eastAsia="仿宋_GB2312" w:cs="仿宋_GB2312"/>
          <w:b w:val="0"/>
          <w:i w:val="0"/>
          <w:caps w:val="0"/>
          <w:color w:val="000000"/>
          <w:spacing w:val="0"/>
          <w:w w:val="100"/>
          <w:kern w:val="2"/>
          <w:sz w:val="32"/>
          <w:szCs w:val="32"/>
          <w:lang w:val="en-US" w:eastAsia="zh-CN" w:bidi="ar-SA"/>
        </w:rPr>
        <w:t>提高政治站位，继续开展全体干部职工一对一定点帮扶，大力开展人居环境、“两不愁三保障”等工作，进一步巩固脱贫成果。</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履职效果情况：从社会效益、经济效益、生态效益等方面反映部门履职效果的实现情况。</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本部门履职及履职效益情况良好。一是本单位编制人数22人，实有人数17人，固定资产使用率达到90%，同时对各项支出严格按照预算额度进行控制、努力节约成本经费，重点工作落实基本完成，每月15日前及时发放工资；二是各项工作均能够按时完成，为民办事及时率显著提高，各项工作有序开展，年终考核合格以上；三是部门整体支出使用效果达到了预期效果，部门履职服务保障工作水平提高。</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社会满意度及可持续性影响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我单位在县委、县政府的考核中评为良好等级。同时龙门工业新区的开发，有利于拉动全南县的经济增长，有效推进全南县城市化进程和经济结构的调整、优化和升级，有利于生态环境建设和经济发展结合起来，处理好长远与眼前、全局与局部的关系，促进生态效益、经济效益的协调统一，对促进当地经济的持续、健康、快速发展具有重要意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三、部门整体支出绩效中存在问题及改进措施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楷体" w:hAnsi="楷体" w:eastAsia="楷体" w:cs="楷体"/>
          <w:b/>
          <w:bCs/>
          <w:sz w:val="32"/>
          <w:szCs w:val="32"/>
        </w:rPr>
        <w:t>主要问题及原因分析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预算执行存在偏差,在预算执行中有个别预算子项调剂现象，针对这些不足，我单位将积极采取改进措施，持续改进，不断规范和强化管理。</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改进的方向和具体措施</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严格规范账务处理，提高财务质量水平，并结合实际情况，完整、准确地披露相关信息，尽可能地做到决算与预算相衔接。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四、绩效自评结果拟应用和公开情况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绩效目标自评工作意义重大，有利于监督资金使用情况，将此次绩效自评结果向社会公开，广泛接受社会监督。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3" w:firstLineChars="200"/>
        <w:jc w:val="right"/>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江西全南工业园区管理委员会</w:t>
      </w: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2022年9月10日</w:t>
      </w:r>
    </w:p>
    <w:p>
      <w:pPr>
        <w:pStyle w:val="2"/>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4EF23A"/>
    <w:multiLevelType w:val="singleLevel"/>
    <w:tmpl w:val="EC4EF23A"/>
    <w:lvl w:ilvl="0" w:tentative="0">
      <w:start w:val="4"/>
      <w:numFmt w:val="chineseCounting"/>
      <w:suff w:val="nothing"/>
      <w:lvlText w:val="（%1）"/>
      <w:lvlJc w:val="left"/>
      <w:rPr>
        <w:rFonts w:hint="eastAsia"/>
      </w:rPr>
    </w:lvl>
  </w:abstractNum>
  <w:abstractNum w:abstractNumId="1">
    <w:nsid w:val="3CC4FF10"/>
    <w:multiLevelType w:val="singleLevel"/>
    <w:tmpl w:val="3CC4FF10"/>
    <w:lvl w:ilvl="0" w:tentative="0">
      <w:start w:val="2"/>
      <w:numFmt w:val="chineseCounting"/>
      <w:suff w:val="nothing"/>
      <w:lvlText w:val="（%1）"/>
      <w:lvlJc w:val="left"/>
      <w:rPr>
        <w:rFonts w:hint="eastAsia"/>
      </w:rPr>
    </w:lvl>
  </w:abstractNum>
  <w:abstractNum w:abstractNumId="2">
    <w:nsid w:val="4F532728"/>
    <w:multiLevelType w:val="singleLevel"/>
    <w:tmpl w:val="4F532728"/>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YmU4MTYyNjFmN2NkNjNmYTFlMGRhNThkYjRjOWMifQ=="/>
  </w:docVars>
  <w:rsids>
    <w:rsidRoot w:val="7F591890"/>
    <w:rsid w:val="23E629DD"/>
    <w:rsid w:val="7F59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UserStyle_5"/>
    <w:semiHidden/>
    <w:qFormat/>
    <w:uiPriority w:val="0"/>
  </w:style>
  <w:style w:type="paragraph" w:customStyle="1" w:styleId="7">
    <w:name w:val="UserStyle_0"/>
    <w:basedOn w:val="1"/>
    <w:next w:val="8"/>
    <w:qFormat/>
    <w:uiPriority w:val="0"/>
    <w:pPr>
      <w:spacing w:after="120"/>
      <w:ind w:left="420" w:leftChars="200"/>
      <w:jc w:val="both"/>
      <w:textAlignment w:val="baseline"/>
    </w:pPr>
    <w:rPr>
      <w:rFonts w:ascii="Calibri" w:hAnsi="Calibri"/>
      <w:color w:val="000000"/>
      <w:kern w:val="2"/>
      <w:sz w:val="21"/>
      <w:lang w:val="en-US" w:eastAsia="zh-CN" w:bidi="ar-SA"/>
    </w:rPr>
  </w:style>
  <w:style w:type="paragraph" w:customStyle="1" w:styleId="8">
    <w:name w:val="UserStyle_1"/>
    <w:basedOn w:val="1"/>
    <w:next w:val="1"/>
    <w:qFormat/>
    <w:uiPriority w:val="0"/>
    <w:pPr>
      <w:ind w:firstLine="420" w:firstLineChars="200"/>
      <w:jc w:val="both"/>
      <w:textAlignment w:val="baseline"/>
    </w:p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4981</Words>
  <Characters>5277</Characters>
  <Lines>0</Lines>
  <Paragraphs>0</Paragraphs>
  <TotalTime>23</TotalTime>
  <ScaleCrop>false</ScaleCrop>
  <LinksUpToDate>false</LinksUpToDate>
  <CharactersWithSpaces>5299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2022-10-17T07:51:00Z</dcterms:created>
  <dc:creator>Administrator</dc:creator>
  <cp:lastModifiedBy>Administrator</cp:lastModifiedBy>
  <dcterms:modified xsi:type="dcterms:W3CDTF">2022-10-17T08:17:52Z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5C39CD6AC79A4746BF7CB3A7BC34F8B7</vt:lpwstr>
  </property>
</Properties>
</file>