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187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pacing w:val="-11"/>
          <w:sz w:val="32"/>
          <w:szCs w:val="32"/>
        </w:rPr>
        <w:t>：</w:t>
      </w:r>
    </w:p>
    <w:p>
      <w:pPr>
        <w:spacing w:line="353" w:lineRule="auto"/>
        <w:rPr>
          <w:rFonts w:ascii="黑体"/>
          <w:sz w:val="21"/>
        </w:rPr>
      </w:pPr>
    </w:p>
    <w:p>
      <w:pPr>
        <w:spacing w:line="354" w:lineRule="auto"/>
        <w:rPr>
          <w:rFonts w:ascii="黑体"/>
          <w:sz w:val="21"/>
        </w:rPr>
      </w:pPr>
    </w:p>
    <w:p>
      <w:pPr>
        <w:spacing w:before="264" w:line="183" w:lineRule="auto"/>
        <w:ind w:firstLine="757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2"/>
          <w:sz w:val="36"/>
          <w:szCs w:val="36"/>
          <w:lang w:eastAsia="zh-CN"/>
        </w:rPr>
        <w:t>全南县公务用车服务中心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整体支出</w:t>
      </w:r>
      <w:r>
        <w:rPr>
          <w:rFonts w:ascii="宋体" w:hAnsi="宋体" w:eastAsia="宋体" w:cs="宋体"/>
          <w:sz w:val="36"/>
          <w:szCs w:val="36"/>
        </w:rPr>
        <w:t>绩效评价报告</w:t>
      </w:r>
    </w:p>
    <w:p>
      <w:pPr>
        <w:spacing w:line="349" w:lineRule="auto"/>
        <w:rPr>
          <w:rFonts w:ascii="黑体"/>
          <w:sz w:val="21"/>
        </w:rPr>
      </w:pPr>
    </w:p>
    <w:p>
      <w:pPr>
        <w:spacing w:line="349" w:lineRule="auto"/>
        <w:rPr>
          <w:rFonts w:ascii="黑体"/>
          <w:sz w:val="21"/>
        </w:rPr>
      </w:pPr>
    </w:p>
    <w:p>
      <w:pPr>
        <w:spacing w:before="104" w:line="331" w:lineRule="auto"/>
        <w:ind w:left="13" w:right="13" w:firstLine="663"/>
        <w:rPr>
          <w:rFonts w:ascii="仿宋" w:hAnsi="仿宋" w:eastAsia="仿宋" w:cs="仿宋"/>
          <w:spacing w:val="11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为加强项目资金绩效管理，提高资金使用效益, 根据 《江西省财政厅关于开展 2020 年度绩效评价和 2021 年度绩效监控有关工作的通知》（赣财绩〔2021〕4号）要求，我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单位</w:t>
      </w:r>
      <w:r>
        <w:rPr>
          <w:rFonts w:ascii="仿宋" w:hAnsi="仿宋" w:eastAsia="仿宋" w:cs="仿宋"/>
          <w:spacing w:val="11"/>
          <w:sz w:val="32"/>
          <w:szCs w:val="32"/>
        </w:rPr>
        <w:t>组织对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全南县公务用车服务中心</w:t>
      </w:r>
      <w:r>
        <w:rPr>
          <w:rFonts w:ascii="仿宋" w:hAnsi="仿宋" w:eastAsia="仿宋" w:cs="仿宋"/>
          <w:spacing w:val="11"/>
          <w:sz w:val="32"/>
          <w:szCs w:val="32"/>
        </w:rPr>
        <w:t>开展了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部门整体支出</w:t>
      </w:r>
      <w:r>
        <w:rPr>
          <w:rFonts w:ascii="仿宋" w:hAnsi="仿宋" w:eastAsia="仿宋" w:cs="仿宋"/>
          <w:spacing w:val="11"/>
          <w:sz w:val="32"/>
          <w:szCs w:val="32"/>
        </w:rPr>
        <w:t>绩效评价。现将有关情况报告如下。</w:t>
      </w:r>
    </w:p>
    <w:p>
      <w:pPr>
        <w:spacing w:before="305" w:line="187" w:lineRule="auto"/>
        <w:ind w:firstLine="67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hAnsi="黑体" w:eastAsia="黑体" w:cs="黑体"/>
          <w:spacing w:val="5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部门整体支出绩效</w:t>
      </w:r>
      <w:r>
        <w:rPr>
          <w:rFonts w:ascii="黑体" w:hAnsi="黑体" w:eastAsia="黑体" w:cs="黑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基本情况</w:t>
      </w:r>
    </w:p>
    <w:p>
      <w:pPr>
        <w:widowControl/>
        <w:shd w:val="clear" w:color="auto" w:fill="FFFFFF"/>
        <w:spacing w:line="600" w:lineRule="exact"/>
        <w:ind w:firstLine="624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部门整体支出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背景。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全南县公车改革后，根据</w:t>
      </w:r>
      <w:r>
        <w:rPr>
          <w:rFonts w:hint="eastAsia" w:ascii="仿宋_GB2312" w:hAnsi="仿宋" w:eastAsia="仿宋_GB2312" w:cs="仿宋_GB2312"/>
          <w:sz w:val="32"/>
          <w:szCs w:val="32"/>
        </w:rPr>
        <w:t>抄告单（全府办抄字〔</w:t>
      </w:r>
      <w:r>
        <w:rPr>
          <w:rFonts w:ascii="仿宋_GB2312" w:hAnsi="仿宋" w:eastAsia="仿宋_GB2312" w:cs="仿宋_GB2312"/>
          <w:sz w:val="32"/>
          <w:szCs w:val="32"/>
        </w:rPr>
        <w:t>2017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ascii="仿宋_GB2312" w:hAnsi="仿宋" w:eastAsia="仿宋_GB2312" w:cs="仿宋_GB2312"/>
          <w:sz w:val="32"/>
          <w:szCs w:val="32"/>
        </w:rPr>
        <w:t>177</w:t>
      </w:r>
      <w:r>
        <w:rPr>
          <w:rFonts w:hint="eastAsia" w:ascii="仿宋_GB2312" w:hAnsi="仿宋" w:eastAsia="仿宋_GB2312" w:cs="仿宋_GB2312"/>
          <w:sz w:val="32"/>
          <w:szCs w:val="32"/>
        </w:rPr>
        <w:t>号）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文件精神，全南县公务用车服务中心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负责我县公务用车服务中心的车辆管理调配工作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公务用车服务中心的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车辆、设备和车库等设施资产的管理工作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公务用车服务中心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车辆用油、车辆驾驶、车辆维修和保养的管理工作。规范车辆维修管理制度，健全车辆管理档案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负责公务用车服务中心车辆的年检、保险和相关费用的缴纳工作。</w:t>
      </w:r>
    </w:p>
    <w:p>
      <w:pPr>
        <w:spacing w:before="160" w:line="325" w:lineRule="auto"/>
        <w:ind w:left="31" w:right="80" w:firstLine="622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rFonts w:hint="eastAsia" w:ascii="楷体" w:hAnsi="楷体" w:eastAsia="楷体" w:cs="楷体"/>
          <w:spacing w:val="-4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整体绩效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目标。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在保障全县公务用车用车需求的基础上，加强安全管理，确保全年无较大交通事故发生，降低油耗，控制运行成本。</w:t>
      </w:r>
    </w:p>
    <w:p>
      <w:pPr>
        <w:spacing w:before="160" w:line="325" w:lineRule="auto"/>
        <w:ind w:left="31" w:right="80" w:firstLine="62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三）主要内容及预算支出情况。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整体</w:t>
      </w:r>
      <w:r>
        <w:rPr>
          <w:rFonts w:ascii="仿宋" w:hAnsi="仿宋" w:eastAsia="仿宋" w:cs="仿宋"/>
          <w:spacing w:val="-4"/>
          <w:sz w:val="32"/>
          <w:szCs w:val="32"/>
        </w:rPr>
        <w:t>资金主要用于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司勤人员工资发放、公务用车车辆维护（包括燃油费、车辆保险及车辆维修费用）</w:t>
      </w:r>
      <w:r>
        <w:rPr>
          <w:rFonts w:hint="eastAsia" w:ascii="仿宋" w:hAnsi="仿宋" w:eastAsia="仿宋"/>
          <w:sz w:val="30"/>
          <w:szCs w:val="30"/>
        </w:rPr>
        <w:t>本年支出合计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722.99</w:t>
      </w:r>
      <w:r>
        <w:rPr>
          <w:rFonts w:hint="eastAsia"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较20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66.23</w:t>
      </w:r>
      <w:r>
        <w:rPr>
          <w:rFonts w:hint="eastAsia" w:ascii="仿宋" w:hAnsi="仿宋" w:eastAsia="仿宋"/>
          <w:sz w:val="30"/>
          <w:szCs w:val="30"/>
        </w:rPr>
        <w:t xml:space="preserve"> 万元，下降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%</w:t>
      </w:r>
    </w:p>
    <w:p>
      <w:pPr>
        <w:spacing w:before="304" w:line="187" w:lineRule="auto"/>
        <w:ind w:firstLine="69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二、绩效评价工作情况及评价结论</w:t>
      </w:r>
    </w:p>
    <w:p>
      <w:pPr>
        <w:spacing w:before="301" w:line="360" w:lineRule="auto"/>
        <w:ind w:left="27" w:firstLine="645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一）评价范围和目的。</w:t>
      </w:r>
      <w:r>
        <w:rPr>
          <w:rFonts w:ascii="仿宋" w:hAnsi="仿宋" w:eastAsia="仿宋" w:cs="仿宋"/>
          <w:spacing w:val="-5"/>
          <w:sz w:val="32"/>
          <w:szCs w:val="32"/>
        </w:rPr>
        <w:t>本次绩效评价对象为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全南县公务用车服务中心部门整体支出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。围绕</w:t>
      </w:r>
      <w:r>
        <w:rPr>
          <w:rFonts w:hint="eastAsia" w:ascii="仿宋" w:hAnsi="仿宋" w:eastAsia="仿宋" w:cs="仿宋"/>
          <w:spacing w:val="-16"/>
          <w:w w:val="99"/>
          <w:sz w:val="32"/>
          <w:szCs w:val="32"/>
          <w:lang w:eastAsia="zh-CN"/>
        </w:rPr>
        <w:t>管理、产出、效果、满意度</w:t>
      </w:r>
      <w:r>
        <w:rPr>
          <w:rFonts w:ascii="仿宋" w:hAnsi="仿宋" w:eastAsia="仿宋" w:cs="仿宋"/>
          <w:spacing w:val="-2"/>
          <w:sz w:val="32"/>
          <w:szCs w:val="32"/>
        </w:rPr>
        <w:t>四个方面开展评价工作，以反映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部门整体</w:t>
      </w:r>
      <w:r>
        <w:rPr>
          <w:rFonts w:ascii="仿宋" w:hAnsi="仿宋" w:eastAsia="仿宋" w:cs="仿宋"/>
          <w:spacing w:val="-2"/>
          <w:sz w:val="32"/>
          <w:szCs w:val="32"/>
        </w:rPr>
        <w:t>支出成效，梳理存在的问题并提出建议，强化</w:t>
      </w:r>
      <w:r>
        <w:rPr>
          <w:rFonts w:ascii="仿宋" w:hAnsi="仿宋" w:eastAsia="仿宋" w:cs="仿宋"/>
          <w:spacing w:val="-1"/>
          <w:sz w:val="32"/>
          <w:szCs w:val="32"/>
        </w:rPr>
        <w:t>单位预算绩效管理概念，提高资金的使用效率。</w:t>
      </w:r>
    </w:p>
    <w:p>
      <w:pPr>
        <w:spacing w:before="19" w:line="359" w:lineRule="auto"/>
        <w:ind w:left="25" w:firstLine="629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9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二）评价指标体系。</w:t>
      </w:r>
      <w:r>
        <w:rPr>
          <w:rFonts w:ascii="仿宋" w:hAnsi="仿宋" w:eastAsia="仿宋" w:cs="仿宋"/>
          <w:spacing w:val="-12"/>
          <w:sz w:val="32"/>
          <w:szCs w:val="32"/>
        </w:rPr>
        <w:t>本次绩效评价指标体系包括</w:t>
      </w:r>
      <w:r>
        <w:rPr>
          <w:rFonts w:hint="eastAsia" w:ascii="仿宋" w:hAnsi="仿宋" w:eastAsia="仿宋" w:cs="仿宋"/>
          <w:spacing w:val="-16"/>
          <w:w w:val="99"/>
          <w:sz w:val="32"/>
          <w:szCs w:val="32"/>
          <w:lang w:eastAsia="zh-CN"/>
        </w:rPr>
        <w:t>管理、产出、效果、满意度</w:t>
      </w:r>
      <w:r>
        <w:rPr>
          <w:rFonts w:ascii="仿宋" w:hAnsi="仿宋" w:eastAsia="仿宋" w:cs="仿宋"/>
          <w:spacing w:val="-3"/>
          <w:sz w:val="32"/>
          <w:szCs w:val="32"/>
        </w:rPr>
        <w:t>4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个一级指标，1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pacing w:val="-3"/>
          <w:sz w:val="32"/>
          <w:szCs w:val="32"/>
        </w:rPr>
        <w:t>个二级指标和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18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级指标，满分为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100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分。其中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管理</w:t>
      </w:r>
      <w:r>
        <w:rPr>
          <w:rFonts w:ascii="仿宋" w:hAnsi="仿宋" w:eastAsia="仿宋" w:cs="仿宋"/>
          <w:spacing w:val="-13"/>
          <w:sz w:val="32"/>
          <w:szCs w:val="32"/>
        </w:rPr>
        <w:t>（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30</w:t>
      </w:r>
      <w:r>
        <w:rPr>
          <w:rFonts w:ascii="仿宋" w:hAnsi="仿宋" w:eastAsia="仿宋" w:cs="仿宋"/>
          <w:spacing w:val="-13"/>
          <w:sz w:val="32"/>
          <w:szCs w:val="32"/>
        </w:rPr>
        <w:t>分）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从资</w:t>
      </w:r>
      <w:r>
        <w:rPr>
          <w:rFonts w:ascii="仿宋" w:hAnsi="仿宋" w:eastAsia="仿宋" w:cs="仿宋"/>
          <w:spacing w:val="-2"/>
          <w:sz w:val="32"/>
          <w:szCs w:val="32"/>
        </w:rPr>
        <w:t>金管理和组织实施两方面评价资金到位率、预算执行率、资</w:t>
      </w:r>
      <w:r>
        <w:rPr>
          <w:rFonts w:ascii="仿宋" w:hAnsi="仿宋" w:eastAsia="仿宋" w:cs="仿宋"/>
          <w:sz w:val="32"/>
          <w:szCs w:val="32"/>
        </w:rPr>
        <w:t>金使用合规性、管理制度健全性、制度执行有效性等内容。</w:t>
      </w:r>
      <w:r>
        <w:rPr>
          <w:rFonts w:ascii="仿宋" w:hAnsi="仿宋" w:eastAsia="仿宋" w:cs="仿宋"/>
          <w:spacing w:val="-13"/>
          <w:sz w:val="32"/>
          <w:szCs w:val="32"/>
        </w:rPr>
        <w:t>产出（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25</w:t>
      </w:r>
      <w:r>
        <w:rPr>
          <w:rFonts w:ascii="仿宋" w:hAnsi="仿宋" w:eastAsia="仿宋" w:cs="仿宋"/>
          <w:spacing w:val="-13"/>
          <w:sz w:val="32"/>
          <w:szCs w:val="32"/>
        </w:rPr>
        <w:t>分）用于考察该资金投入产出数量、产出质量、产出时效、产出成本等内容。效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果</w:t>
      </w:r>
      <w:r>
        <w:rPr>
          <w:rFonts w:ascii="仿宋" w:hAnsi="仿宋" w:eastAsia="仿宋" w:cs="仿宋"/>
          <w:spacing w:val="-13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分）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用于综合评价资</w:t>
      </w:r>
      <w:r>
        <w:rPr>
          <w:rFonts w:ascii="仿宋" w:hAnsi="仿宋" w:eastAsia="仿宋" w:cs="仿宋"/>
          <w:spacing w:val="-1"/>
          <w:sz w:val="32"/>
          <w:szCs w:val="32"/>
        </w:rPr>
        <w:t>金投入使用后产生的社会效益、可持续影响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。满意度（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10分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）用于考察</w:t>
      </w:r>
      <w:r>
        <w:rPr>
          <w:rFonts w:ascii="仿宋" w:hAnsi="仿宋" w:eastAsia="仿宋" w:cs="仿宋"/>
          <w:spacing w:val="-1"/>
          <w:sz w:val="32"/>
          <w:szCs w:val="32"/>
        </w:rPr>
        <w:t>受益对象满意</w:t>
      </w:r>
      <w:r>
        <w:rPr>
          <w:rFonts w:ascii="仿宋" w:hAnsi="仿宋" w:eastAsia="仿宋" w:cs="仿宋"/>
          <w:spacing w:val="-3"/>
          <w:sz w:val="32"/>
          <w:szCs w:val="32"/>
        </w:rPr>
        <w:t>度等内容。</w:t>
      </w:r>
    </w:p>
    <w:p>
      <w:pPr>
        <w:sectPr>
          <w:footerReference r:id="rId5" w:type="default"/>
          <w:pgSz w:w="11906" w:h="16839"/>
          <w:pgMar w:top="1431" w:right="1697" w:bottom="1362" w:left="1785" w:header="0" w:footer="1237" w:gutter="0"/>
          <w:cols w:space="720" w:num="1"/>
        </w:sectPr>
      </w:pPr>
    </w:p>
    <w:p>
      <w:pPr>
        <w:spacing w:before="162" w:line="316" w:lineRule="auto"/>
        <w:ind w:left="26" w:right="96" w:firstLine="627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三）评价方法及实施。</w:t>
      </w:r>
      <w:r>
        <w:rPr>
          <w:rFonts w:ascii="仿宋" w:hAnsi="仿宋" w:eastAsia="仿宋" w:cs="仿宋"/>
          <w:spacing w:val="-4"/>
          <w:sz w:val="32"/>
          <w:szCs w:val="32"/>
        </w:rPr>
        <w:t>本次评价通过查阅文件资料、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现场调研等方法对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部门整体支出</w:t>
      </w:r>
      <w:r>
        <w:rPr>
          <w:rFonts w:ascii="仿宋" w:hAnsi="仿宋" w:eastAsia="仿宋" w:cs="仿宋"/>
          <w:spacing w:val="-2"/>
          <w:sz w:val="32"/>
          <w:szCs w:val="32"/>
        </w:rPr>
        <w:t>进行定性评价，通过基础数据统计分析等方法，对项目进行定量评价。本次绩效评价主要使用成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本效益法、案卷研究法、现场调研法、因素分析法。</w:t>
      </w:r>
    </w:p>
    <w:p>
      <w:pPr>
        <w:spacing w:before="160" w:line="325" w:lineRule="auto"/>
        <w:ind w:left="31" w:right="80" w:firstLine="622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6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四）评价结论。</w:t>
      </w:r>
      <w:r>
        <w:rPr>
          <w:rFonts w:ascii="仿宋" w:hAnsi="仿宋" w:eastAsia="仿宋" w:cs="仿宋"/>
          <w:spacing w:val="-6"/>
          <w:sz w:val="32"/>
          <w:szCs w:val="32"/>
        </w:rPr>
        <w:t>评价综合得分为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93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分，评价</w:t>
      </w:r>
      <w:r>
        <w:rPr>
          <w:rFonts w:ascii="仿宋" w:hAnsi="仿宋" w:eastAsia="仿宋" w:cs="仿宋"/>
          <w:spacing w:val="-3"/>
          <w:sz w:val="32"/>
          <w:szCs w:val="32"/>
        </w:rPr>
        <w:t>等级为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“优”。评价认为，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全南县公务用车服务中心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较好的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保障全县公务用车用车需求，加强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安全管理，确保全年无较大交通事故发生，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有效的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降低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油耗，控制运行成本。</w:t>
      </w:r>
    </w:p>
    <w:p>
      <w:pPr>
        <w:spacing w:before="304" w:line="187" w:lineRule="auto"/>
        <w:ind w:firstLine="67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三、绩效评价指标完成情况</w:t>
      </w:r>
    </w:p>
    <w:p>
      <w:pPr>
        <w:spacing w:before="301" w:line="360" w:lineRule="auto"/>
        <w:ind w:left="30" w:firstLine="624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6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</w:t>
      </w:r>
      <w:r>
        <w:rPr>
          <w:rFonts w:hint="eastAsia" w:ascii="楷体" w:hAnsi="楷体" w:eastAsia="楷体" w:cs="楷体"/>
          <w:spacing w:val="-1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管理</w:t>
      </w:r>
      <w:r>
        <w:rPr>
          <w:rFonts w:ascii="楷体" w:hAnsi="楷体" w:eastAsia="楷体" w:cs="楷体"/>
          <w:spacing w:val="-1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指标分析。</w:t>
      </w:r>
      <w:r>
        <w:rPr>
          <w:rFonts w:ascii="仿宋" w:hAnsi="仿宋" w:eastAsia="仿宋" w:cs="仿宋"/>
          <w:spacing w:val="-15"/>
          <w:sz w:val="32"/>
          <w:szCs w:val="32"/>
        </w:rPr>
        <w:t>该指标分值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30</w:t>
      </w:r>
      <w:r>
        <w:rPr>
          <w:rFonts w:ascii="仿宋" w:hAnsi="仿宋" w:eastAsia="仿宋" w:cs="仿宋"/>
          <w:spacing w:val="-15"/>
          <w:sz w:val="32"/>
          <w:szCs w:val="32"/>
        </w:rPr>
        <w:t>分，得分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29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分。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整体支出</w:t>
      </w:r>
      <w:r>
        <w:rPr>
          <w:rFonts w:ascii="仿宋" w:hAnsi="仿宋" w:eastAsia="仿宋" w:cs="仿宋"/>
          <w:spacing w:val="-6"/>
          <w:sz w:val="32"/>
          <w:szCs w:val="32"/>
        </w:rPr>
        <w:t>预算批复流程合规、手续完整，资金到位率100%。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整体支出</w:t>
      </w:r>
      <w:r>
        <w:rPr>
          <w:rFonts w:ascii="仿宋" w:hAnsi="仿宋" w:eastAsia="仿宋" w:cs="仿宋"/>
          <w:spacing w:val="-2"/>
          <w:sz w:val="32"/>
          <w:szCs w:val="32"/>
        </w:rPr>
        <w:t>建立了相关业务管理制度，财务管理遵守相关制度。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整体支出</w:t>
      </w:r>
      <w:r>
        <w:rPr>
          <w:rFonts w:ascii="仿宋" w:hAnsi="仿宋" w:eastAsia="仿宋" w:cs="仿宋"/>
          <w:spacing w:val="-1"/>
          <w:sz w:val="32"/>
          <w:szCs w:val="32"/>
        </w:rPr>
        <w:t>支出过程符合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单位</w:t>
      </w:r>
      <w:r>
        <w:rPr>
          <w:rFonts w:ascii="仿宋" w:hAnsi="仿宋" w:eastAsia="仿宋" w:cs="仿宋"/>
          <w:spacing w:val="-1"/>
          <w:sz w:val="32"/>
          <w:szCs w:val="32"/>
        </w:rPr>
        <w:t>支出审批和财务报销流程，执行过</w:t>
      </w:r>
      <w:r>
        <w:rPr>
          <w:rFonts w:ascii="仿宋" w:hAnsi="仿宋" w:eastAsia="仿宋" w:cs="仿宋"/>
          <w:spacing w:val="11"/>
          <w:sz w:val="32"/>
          <w:szCs w:val="32"/>
        </w:rPr>
        <w:t>程总体有可遵循的财务及业务管理制度。</w:t>
      </w:r>
    </w:p>
    <w:p>
      <w:pPr>
        <w:spacing w:before="10" w:line="359" w:lineRule="auto"/>
        <w:ind w:left="23" w:firstLine="63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9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</w:t>
      </w:r>
      <w:r>
        <w:rPr>
          <w:rFonts w:hint="eastAsia" w:ascii="楷体" w:hAnsi="楷体" w:eastAsia="楷体" w:cs="楷体"/>
          <w:spacing w:val="-15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产出</w:t>
      </w:r>
      <w:r>
        <w:rPr>
          <w:rFonts w:ascii="楷体" w:hAnsi="楷体" w:eastAsia="楷体" w:cs="楷体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指标分析。</w:t>
      </w:r>
      <w:r>
        <w:rPr>
          <w:rFonts w:ascii="仿宋" w:hAnsi="仿宋" w:eastAsia="仿宋" w:cs="仿宋"/>
          <w:spacing w:val="-15"/>
          <w:sz w:val="32"/>
          <w:szCs w:val="32"/>
        </w:rPr>
        <w:t>该指标分值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25</w:t>
      </w:r>
      <w:r>
        <w:rPr>
          <w:rFonts w:ascii="仿宋" w:hAnsi="仿宋" w:eastAsia="仿宋" w:cs="仿宋"/>
          <w:spacing w:val="-15"/>
          <w:sz w:val="32"/>
          <w:szCs w:val="32"/>
        </w:rPr>
        <w:t>分，得分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  <w:t>21</w:t>
      </w:r>
      <w:r>
        <w:rPr>
          <w:rFonts w:ascii="仿宋" w:hAnsi="仿宋" w:eastAsia="仿宋" w:cs="仿宋"/>
          <w:spacing w:val="-15"/>
          <w:sz w:val="32"/>
          <w:szCs w:val="32"/>
        </w:rPr>
        <w:t>分。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整体支出较好的控制了运行成本，公务用车维护费用相比上一年度下降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9%，有效保障全县公务用车使用需求。车辆油耗得到进一步控制。</w:t>
      </w:r>
    </w:p>
    <w:p>
      <w:pPr>
        <w:spacing w:before="164" w:line="360" w:lineRule="auto"/>
        <w:ind w:left="26" w:right="13" w:hanging="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三）</w:t>
      </w:r>
      <w:r>
        <w:rPr>
          <w:rFonts w:hint="eastAsia" w:ascii="楷体" w:hAnsi="楷体" w:eastAsia="楷体" w:cs="楷体"/>
          <w:spacing w:val="-8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效果</w:t>
      </w: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指标分析。</w:t>
      </w:r>
      <w:r>
        <w:rPr>
          <w:rFonts w:ascii="仿宋" w:hAnsi="仿宋" w:eastAsia="仿宋" w:cs="仿宋"/>
          <w:spacing w:val="-8"/>
          <w:sz w:val="32"/>
          <w:szCs w:val="32"/>
        </w:rPr>
        <w:t>该指标分值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35</w:t>
      </w:r>
      <w:r>
        <w:rPr>
          <w:rFonts w:ascii="仿宋" w:hAnsi="仿宋" w:eastAsia="仿宋" w:cs="仿宋"/>
          <w:spacing w:val="-8"/>
          <w:sz w:val="32"/>
          <w:szCs w:val="32"/>
        </w:rPr>
        <w:t>分，得分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34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分。</w:t>
      </w:r>
      <w:r>
        <w:rPr>
          <w:rFonts w:ascii="仿宋" w:hAnsi="仿宋" w:eastAsia="仿宋" w:cs="仿宋"/>
          <w:spacing w:val="-5"/>
          <w:sz w:val="32"/>
          <w:szCs w:val="32"/>
        </w:rPr>
        <w:t>截止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2020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12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31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日，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整体支出</w:t>
      </w:r>
      <w:r>
        <w:rPr>
          <w:rFonts w:ascii="仿宋" w:hAnsi="仿宋" w:eastAsia="仿宋" w:cs="仿宋"/>
          <w:spacing w:val="-5"/>
          <w:sz w:val="32"/>
          <w:szCs w:val="32"/>
        </w:rPr>
        <w:t>产出较好，按计划完成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了提高公务用车公车费用非税收入、降低油耗、低碳出行的目标。但是在降低油耗方面依然存在不足，有进一步下降的空间。</w:t>
      </w:r>
    </w:p>
    <w:p>
      <w:pPr>
        <w:spacing w:before="8" w:line="334" w:lineRule="auto"/>
        <w:ind w:left="20" w:right="12" w:firstLine="633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四）</w:t>
      </w:r>
      <w:r>
        <w:rPr>
          <w:rFonts w:hint="eastAsia" w:ascii="楷体" w:hAnsi="楷体" w:eastAsia="楷体" w:cs="楷体"/>
          <w:spacing w:val="1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满意度</w:t>
      </w:r>
      <w:r>
        <w:rPr>
          <w:rFonts w:ascii="楷体" w:hAnsi="楷体" w:eastAsia="楷体" w:cs="楷体"/>
          <w:spacing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指标分析。</w:t>
      </w:r>
      <w:r>
        <w:rPr>
          <w:rFonts w:ascii="仿宋" w:hAnsi="仿宋" w:eastAsia="仿宋" w:cs="仿宋"/>
          <w:spacing w:val="1"/>
          <w:sz w:val="32"/>
          <w:szCs w:val="32"/>
        </w:rPr>
        <w:t>该指标分值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spacing w:val="1"/>
          <w:sz w:val="32"/>
          <w:szCs w:val="32"/>
        </w:rPr>
        <w:t>分，得分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spacing w:val="-5"/>
          <w:sz w:val="32"/>
          <w:szCs w:val="32"/>
        </w:rPr>
        <w:t>分。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用车单位满意度方面全年投诉为一，用车人满意度为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95%，整体达到了满意度预期指标。</w:t>
      </w:r>
    </w:p>
    <w:p>
      <w:pPr>
        <w:spacing w:before="304" w:line="187" w:lineRule="auto"/>
        <w:ind w:firstLine="68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四、发现的主要问题</w:t>
      </w:r>
    </w:p>
    <w:p>
      <w:pPr>
        <w:spacing w:before="301" w:line="301" w:lineRule="auto"/>
        <w:ind w:left="23" w:right="11" w:firstLine="63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一）部分绩效目标设置不够合理。</w:t>
      </w:r>
      <w:r>
        <w:rPr>
          <w:rFonts w:ascii="仿宋" w:hAnsi="仿宋" w:eastAsia="仿宋" w:cs="仿宋"/>
          <w:spacing w:val="-4"/>
          <w:sz w:val="32"/>
          <w:szCs w:val="32"/>
        </w:rPr>
        <w:t>部分申报的绩效目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标与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实际</w:t>
      </w:r>
      <w:bookmarkStart w:id="0" w:name="_GoBack"/>
      <w:bookmarkEnd w:id="0"/>
      <w:r>
        <w:rPr>
          <w:rFonts w:ascii="仿宋" w:hAnsi="仿宋" w:eastAsia="仿宋" w:cs="仿宋"/>
          <w:spacing w:val="-2"/>
          <w:sz w:val="32"/>
          <w:szCs w:val="32"/>
        </w:rPr>
        <w:t>类型不相符，部分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整体支出</w:t>
      </w:r>
      <w:r>
        <w:rPr>
          <w:rFonts w:ascii="仿宋" w:hAnsi="仿宋" w:eastAsia="仿宋" w:cs="仿宋"/>
          <w:spacing w:val="-2"/>
          <w:sz w:val="32"/>
          <w:szCs w:val="32"/>
        </w:rPr>
        <w:t>绩效指标不够细化和可衡量。</w:t>
      </w:r>
    </w:p>
    <w:p>
      <w:pPr>
        <w:spacing w:before="304" w:line="325" w:lineRule="auto"/>
        <w:ind w:left="26" w:right="11" w:firstLine="627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6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二）部分资金使用不够规范。</w:t>
      </w:r>
      <w:r>
        <w:rPr>
          <w:rFonts w:ascii="仿宋" w:hAnsi="仿宋" w:eastAsia="仿宋" w:cs="仿宋"/>
          <w:spacing w:val="-4"/>
          <w:sz w:val="32"/>
          <w:szCs w:val="32"/>
        </w:rPr>
        <w:t>实际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司勤人员工资与</w:t>
      </w:r>
      <w:r>
        <w:rPr>
          <w:rFonts w:ascii="仿宋" w:hAnsi="仿宋" w:eastAsia="仿宋" w:cs="仿宋"/>
          <w:spacing w:val="-2"/>
          <w:sz w:val="32"/>
          <w:szCs w:val="32"/>
        </w:rPr>
        <w:t>年初预算批复有差异。</w:t>
      </w:r>
    </w:p>
    <w:p>
      <w:pPr>
        <w:spacing w:before="305" w:line="187" w:lineRule="auto"/>
        <w:ind w:firstLine="695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五、相关建议</w:t>
      </w:r>
    </w:p>
    <w:p>
      <w:pPr>
        <w:spacing w:before="6" w:line="359" w:lineRule="auto"/>
        <w:ind w:left="26" w:firstLine="647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hint="eastAsia" w:ascii="楷体" w:hAnsi="楷体" w:eastAsia="楷体" w:cs="楷体"/>
          <w:spacing w:val="-13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规范设置绩效目标。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部门整体支出</w:t>
      </w:r>
      <w:r>
        <w:rPr>
          <w:rFonts w:ascii="仿宋" w:hAnsi="仿宋" w:eastAsia="仿宋" w:cs="仿宋"/>
          <w:spacing w:val="-5"/>
          <w:sz w:val="32"/>
          <w:szCs w:val="32"/>
        </w:rPr>
        <w:t>目标的设置应当全面反</w:t>
      </w:r>
      <w:r>
        <w:rPr>
          <w:rFonts w:ascii="仿宋" w:hAnsi="仿宋" w:eastAsia="仿宋" w:cs="仿宋"/>
          <w:spacing w:val="-2"/>
          <w:sz w:val="32"/>
          <w:szCs w:val="32"/>
        </w:rPr>
        <w:t>映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部门整体支出</w:t>
      </w:r>
      <w:r>
        <w:rPr>
          <w:rFonts w:ascii="仿宋" w:hAnsi="仿宋" w:eastAsia="仿宋" w:cs="仿宋"/>
          <w:spacing w:val="-2"/>
          <w:sz w:val="32"/>
          <w:szCs w:val="32"/>
        </w:rPr>
        <w:t>的产出及效益情况。</w:t>
      </w:r>
    </w:p>
    <w:p>
      <w:pPr>
        <w:spacing w:before="6" w:line="359" w:lineRule="auto"/>
        <w:ind w:left="26" w:firstLine="647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-13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楷体" w:hAnsi="楷体" w:eastAsia="楷体" w:cs="楷体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加强绩效运行监控。</w:t>
      </w:r>
      <w:r>
        <w:rPr>
          <w:rFonts w:ascii="仿宋" w:hAnsi="仿宋" w:eastAsia="仿宋" w:cs="仿宋"/>
          <w:spacing w:val="-14"/>
          <w:sz w:val="32"/>
          <w:szCs w:val="32"/>
        </w:rPr>
        <w:t>建立健全绩效跟踪监控制度，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按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整体</w:t>
      </w:r>
      <w:r>
        <w:rPr>
          <w:rFonts w:ascii="仿宋" w:hAnsi="仿宋" w:eastAsia="仿宋" w:cs="仿宋"/>
          <w:spacing w:val="-2"/>
          <w:sz w:val="32"/>
          <w:szCs w:val="32"/>
        </w:rPr>
        <w:t>实施计划加快推进进度。若原计划和目标发生变化，在调整预算和采购计划时，应及时提出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整体支出绩效</w:t>
      </w:r>
      <w:r>
        <w:rPr>
          <w:rFonts w:ascii="仿宋" w:hAnsi="仿宋" w:eastAsia="仿宋" w:cs="仿宋"/>
          <w:spacing w:val="-2"/>
          <w:sz w:val="32"/>
          <w:szCs w:val="32"/>
        </w:rPr>
        <w:t>目标调整申</w:t>
      </w:r>
      <w:r>
        <w:rPr>
          <w:rFonts w:ascii="仿宋" w:hAnsi="仿宋" w:eastAsia="仿宋" w:cs="仿宋"/>
          <w:spacing w:val="-7"/>
          <w:sz w:val="32"/>
          <w:szCs w:val="32"/>
        </w:rPr>
        <w:t>请。</w:t>
      </w:r>
    </w:p>
    <w:p>
      <w:pPr>
        <w:spacing w:line="360" w:lineRule="auto"/>
        <w:ind w:left="30" w:firstLine="624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pacing w:val="-13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楷体" w:hAnsi="楷体" w:eastAsia="楷体" w:cs="楷体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加强绩效结果自评。</w:t>
      </w:r>
      <w:r>
        <w:rPr>
          <w:rFonts w:ascii="仿宋" w:hAnsi="仿宋" w:eastAsia="仿宋" w:cs="仿宋"/>
          <w:spacing w:val="-13"/>
          <w:sz w:val="32"/>
          <w:szCs w:val="32"/>
        </w:rPr>
        <w:t>加强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整体</w:t>
      </w:r>
      <w:r>
        <w:rPr>
          <w:rFonts w:ascii="仿宋" w:hAnsi="仿宋" w:eastAsia="仿宋" w:cs="仿宋"/>
          <w:spacing w:val="-13"/>
          <w:sz w:val="32"/>
          <w:szCs w:val="32"/>
        </w:rPr>
        <w:t>支出绩效自评工作，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实施结束后，应当及时组织人员对绩效完成情况进行综合评价，并加强评价结果的应用。</w:t>
      </w:r>
    </w:p>
    <w:p>
      <w:pPr>
        <w:bidi w:val="0"/>
        <w:jc w:val="left"/>
        <w:sectPr>
          <w:footerReference r:id="rId6" w:type="default"/>
          <w:pgSz w:w="11906" w:h="16839"/>
          <w:pgMar w:top="1431" w:right="1785" w:bottom="1362" w:left="1785" w:header="0" w:footer="1237" w:gutter="0"/>
          <w:cols w:space="720" w:num="1"/>
        </w:sectPr>
      </w:pPr>
    </w:p>
    <w:p>
      <w:pPr>
        <w:spacing w:before="164" w:line="360" w:lineRule="auto"/>
        <w:ind w:right="93"/>
        <w:rPr>
          <w:rFonts w:ascii="仿宋" w:hAnsi="仿宋" w:eastAsia="仿宋" w:cs="仿宋"/>
          <w:sz w:val="32"/>
          <w:szCs w:val="32"/>
        </w:rPr>
      </w:pPr>
    </w:p>
    <w:sectPr>
      <w:footerReference r:id="rId7" w:type="default"/>
      <w:pgSz w:w="11906" w:h="16839"/>
      <w:pgMar w:top="1431" w:right="1708" w:bottom="1362" w:left="1785" w:header="0" w:footer="12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  <w:r>
      <w:rPr>
        <w:rFonts w:ascii="Times New Roman" w:hAnsi="Times New Roman" w:eastAsia="Times New Roman" w:cs="Times New Roman"/>
        <w:spacing w:val="8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35</w:t>
    </w:r>
    <w:r>
      <w:rPr>
        <w:rFonts w:ascii="Times New Roman" w:hAnsi="Times New Roman" w:eastAsia="Times New Roman" w:cs="Times New Roman"/>
        <w:spacing w:val="6"/>
        <w:w w:val="101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  <w:r>
      <w:rPr>
        <w:rFonts w:ascii="Times New Roman" w:hAnsi="Times New Roman" w:eastAsia="Times New Roman" w:cs="Times New Roman"/>
        <w:spacing w:val="8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37</w:t>
    </w:r>
    <w:r>
      <w:rPr>
        <w:rFonts w:ascii="Times New Roman" w:hAnsi="Times New Roman" w:eastAsia="Times New Roman" w:cs="Times New Roman"/>
        <w:spacing w:val="6"/>
        <w:w w:val="101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  <w:r>
      <w:rPr>
        <w:rFonts w:ascii="Times New Roman" w:hAnsi="Times New Roman" w:eastAsia="Times New Roman" w:cs="Times New Roman"/>
        <w:spacing w:val="8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38</w:t>
    </w:r>
    <w:r>
      <w:rPr>
        <w:rFonts w:ascii="Times New Roman" w:hAnsi="Times New Roman" w:eastAsia="Times New Roman" w:cs="Times New Roman"/>
        <w:spacing w:val="6"/>
        <w:w w:val="101"/>
        <w:position w:val="-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position w:val="-2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000000"/>
    <w:rsid w:val="04FF07E0"/>
    <w:rsid w:val="0F0947E6"/>
    <w:rsid w:val="0FCF60EE"/>
    <w:rsid w:val="13795061"/>
    <w:rsid w:val="194714B7"/>
    <w:rsid w:val="207C2922"/>
    <w:rsid w:val="2DDF5580"/>
    <w:rsid w:val="2FFD63BF"/>
    <w:rsid w:val="44214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1690</Words>
  <Characters>1744</Characters>
  <TotalTime>4</TotalTime>
  <ScaleCrop>false</ScaleCrop>
  <LinksUpToDate>false</LinksUpToDate>
  <CharactersWithSpaces>1801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2021-08-20T16:04:00Z</dcterms:created>
  <dc:creator>YE</dc:creator>
  <cp:lastModifiedBy>剑破红尘</cp:lastModifiedBy>
  <dcterms:modified xsi:type="dcterms:W3CDTF">2022-04-06T03:41:59Z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2022-04-06T10:32:08Z</vt:filetime>
  </property>
  <property fmtid="{D5CDD505-2E9C-101B-9397-08002B2CF9AE}" pid="4" name="KSOProductBuildVer">
    <vt:lpwstr>2052-11.1.0.11566</vt:lpwstr>
  </property>
  <property fmtid="{D5CDD505-2E9C-101B-9397-08002B2CF9AE}" pid="5" name="ICV">
    <vt:lpwstr>13D1280B4466435483B24D5BD7E82D6E</vt:lpwstr>
  </property>
</Properties>
</file>