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pacing w:val="4"/>
          <w:sz w:val="44"/>
          <w:szCs w:val="44"/>
        </w:rPr>
      </w:pPr>
      <w:r>
        <w:rPr>
          <w:rFonts w:hint="eastAsia" w:ascii="黑体" w:hAnsi="黑体" w:eastAsia="黑体" w:cs="黑体"/>
          <w:b/>
          <w:bCs/>
          <w:spacing w:val="4"/>
          <w:sz w:val="44"/>
          <w:szCs w:val="44"/>
        </w:rPr>
        <w:t>全南县残疾人联合会2022年部门预算</w:t>
      </w:r>
    </w:p>
    <w:p>
      <w:pPr>
        <w:spacing w:line="560" w:lineRule="exact"/>
        <w:jc w:val="center"/>
        <w:rPr>
          <w:rFonts w:hint="eastAsia" w:ascii="仿宋_GB2312" w:hAnsi="仿宋_GB2312" w:eastAsia="仿宋_GB2312" w:cs="Times New Roman"/>
          <w:b/>
          <w:bCs/>
          <w:sz w:val="32"/>
          <w:szCs w:val="32"/>
          <w:lang w:val="en-US" w:eastAsia="zh-CN"/>
        </w:rPr>
      </w:pPr>
      <w:r>
        <w:rPr>
          <w:rFonts w:hint="eastAsia" w:ascii="仿宋_GB2312" w:hAnsi="仿宋_GB2312" w:eastAsia="仿宋_GB2312" w:cs="Times New Roman"/>
          <w:b/>
          <w:bCs/>
          <w:sz w:val="32"/>
          <w:szCs w:val="32"/>
          <w:lang w:val="en-US" w:eastAsia="zh-CN"/>
        </w:rPr>
        <w:t>目   录</w:t>
      </w:r>
    </w:p>
    <w:p>
      <w:pPr>
        <w:spacing w:line="520" w:lineRule="exact"/>
        <w:rPr>
          <w:rFonts w:ascii="黑体" w:hAnsi="黑体" w:eastAsia="黑体" w:cs="黑体"/>
          <w:sz w:val="32"/>
          <w:szCs w:val="32"/>
        </w:rPr>
      </w:pPr>
      <w:r>
        <w:rPr>
          <w:rFonts w:hint="eastAsia" w:ascii="黑体" w:hAnsi="黑体" w:eastAsia="黑体" w:cs="黑体"/>
          <w:sz w:val="32"/>
          <w:szCs w:val="32"/>
        </w:rPr>
        <w:t>第一部分 全南县残疾人联合会概况</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一、部门主要职责</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二、部门基本情况</w:t>
      </w:r>
    </w:p>
    <w:p>
      <w:pPr>
        <w:spacing w:line="520" w:lineRule="exact"/>
        <w:rPr>
          <w:rFonts w:ascii="黑体" w:hAnsi="黑体" w:eastAsia="黑体" w:cs="黑体"/>
          <w:sz w:val="32"/>
          <w:szCs w:val="32"/>
        </w:rPr>
      </w:pPr>
      <w:r>
        <w:rPr>
          <w:rFonts w:hint="eastAsia" w:ascii="黑体" w:hAnsi="黑体" w:eastAsia="黑体" w:cs="黑体"/>
          <w:sz w:val="32"/>
          <w:szCs w:val="32"/>
        </w:rPr>
        <w:t>第二部分 全南县残疾人联合会2022年部门预算表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一、收支预算总表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二、部门收入总表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三、部门支出总表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四、财政拨款收支总表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五、一般公共预算支出表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六、一般公共预算基本支出表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七、一般公共预算“三公”经费支出表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八、政府性基金预算支出表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九、《国有资本经营预算支出表》</w:t>
      </w:r>
      <w:r>
        <w:rPr>
          <w:rFonts w:hint="eastAsia" w:ascii="楷体" w:hAnsi="楷体" w:eastAsia="楷体" w:cs="楷体"/>
          <w:b/>
          <w:bCs/>
          <w:sz w:val="32"/>
          <w:szCs w:val="32"/>
        </w:rPr>
        <w:tab/>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十、《部门整体支出绩效目标表》</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十一、《重点项目绩效目标表》</w:t>
      </w:r>
    </w:p>
    <w:p>
      <w:pPr>
        <w:spacing w:line="520" w:lineRule="exact"/>
        <w:rPr>
          <w:rFonts w:ascii="黑体" w:hAnsi="黑体" w:eastAsia="黑体" w:cs="黑体"/>
          <w:sz w:val="32"/>
          <w:szCs w:val="32"/>
        </w:rPr>
      </w:pPr>
      <w:r>
        <w:rPr>
          <w:rFonts w:hint="eastAsia" w:ascii="黑体" w:hAnsi="黑体" w:eastAsia="黑体" w:cs="黑体"/>
          <w:sz w:val="32"/>
          <w:szCs w:val="32"/>
        </w:rPr>
        <w:t>第三部分 全南县残疾人联合会2022年部门预算情况说明</w:t>
      </w:r>
    </w:p>
    <w:p>
      <w:pPr>
        <w:spacing w:line="52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一、2022年部门预算收支情况说明</w:t>
      </w:r>
    </w:p>
    <w:p>
      <w:pPr>
        <w:pStyle w:val="2"/>
        <w:ind w:firstLine="643"/>
      </w:pPr>
      <w:r>
        <w:rPr>
          <w:rFonts w:hint="eastAsia" w:ascii="楷体" w:hAnsi="楷体" w:eastAsia="楷体" w:cs="楷体"/>
          <w:b/>
          <w:bCs/>
          <w:sz w:val="32"/>
          <w:szCs w:val="32"/>
        </w:rPr>
        <w:t>二、2022年“三公”经费预算情况说明</w:t>
      </w:r>
    </w:p>
    <w:p>
      <w:pPr>
        <w:spacing w:line="520" w:lineRule="exact"/>
        <w:rPr>
          <w:rFonts w:ascii="黑体" w:hAnsi="黑体" w:eastAsia="黑体" w:cs="黑体"/>
          <w:sz w:val="32"/>
          <w:szCs w:val="32"/>
        </w:rPr>
      </w:pPr>
      <w:r>
        <w:rPr>
          <w:rFonts w:hint="eastAsia" w:ascii="黑体" w:hAnsi="黑体" w:eastAsia="黑体" w:cs="黑体"/>
          <w:sz w:val="32"/>
          <w:szCs w:val="32"/>
        </w:rPr>
        <w:t>第四部分 名词解释</w:t>
      </w:r>
    </w:p>
    <w:p>
      <w:pPr>
        <w:jc w:val="center"/>
        <w:rPr>
          <w:rFonts w:ascii="黑体" w:hAnsi="黑体" w:eastAsia="黑体" w:cs="Times New Roman"/>
          <w:b/>
          <w:bCs/>
          <w:spacing w:val="4"/>
          <w:sz w:val="44"/>
          <w:szCs w:val="44"/>
        </w:rPr>
      </w:pPr>
    </w:p>
    <w:p>
      <w:pPr>
        <w:jc w:val="center"/>
        <w:rPr>
          <w:rFonts w:ascii="黑体" w:hAnsi="黑体" w:eastAsia="黑体" w:cs="Times New Roman"/>
          <w:b/>
          <w:bCs/>
          <w:spacing w:val="4"/>
          <w:sz w:val="44"/>
          <w:szCs w:val="44"/>
        </w:rPr>
      </w:pPr>
    </w:p>
    <w:p>
      <w:pPr>
        <w:jc w:val="center"/>
        <w:rPr>
          <w:rFonts w:ascii="黑体" w:hAnsi="黑体" w:eastAsia="黑体" w:cs="Times New Roman"/>
          <w:b/>
          <w:bCs/>
          <w:spacing w:val="4"/>
          <w:sz w:val="44"/>
          <w:szCs w:val="44"/>
        </w:rPr>
      </w:pPr>
    </w:p>
    <w:p>
      <w:pPr>
        <w:jc w:val="center"/>
        <w:rPr>
          <w:rFonts w:ascii="黑体" w:hAnsi="黑体" w:eastAsia="黑体" w:cs="Times New Roman"/>
          <w:b/>
          <w:bCs/>
          <w:spacing w:val="4"/>
          <w:sz w:val="44"/>
          <w:szCs w:val="44"/>
        </w:rPr>
      </w:pPr>
    </w:p>
    <w:p>
      <w:pPr>
        <w:rPr>
          <w:rFonts w:ascii="黑体" w:hAnsi="黑体" w:eastAsia="黑体" w:cs="Times New Roman"/>
          <w:b/>
          <w:bCs/>
          <w:spacing w:val="4"/>
          <w:sz w:val="44"/>
          <w:szCs w:val="44"/>
        </w:rPr>
      </w:pPr>
    </w:p>
    <w:p>
      <w:pPr>
        <w:widowControl/>
        <w:spacing w:line="40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第一部分 残疾人联合会概况</w:t>
      </w:r>
    </w:p>
    <w:p>
      <w:pPr>
        <w:spacing w:line="400" w:lineRule="exact"/>
        <w:ind w:firstLine="656" w:firstLineChars="200"/>
        <w:rPr>
          <w:rFonts w:ascii="仿宋_GB2312" w:hAnsi="仿宋_GB2312" w:eastAsia="仿宋_GB2312" w:cs="仿宋_GB2312"/>
          <w:b/>
          <w:bCs/>
          <w:spacing w:val="4"/>
          <w:sz w:val="32"/>
          <w:szCs w:val="32"/>
        </w:rPr>
      </w:pPr>
      <w:r>
        <w:rPr>
          <w:rFonts w:hint="eastAsia" w:ascii="黑体" w:hAnsi="黑体" w:eastAsia="黑体" w:cs="黑体"/>
          <w:spacing w:val="4"/>
          <w:sz w:val="32"/>
          <w:szCs w:val="32"/>
        </w:rPr>
        <w:t>一、部门主要职责</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全南县残疾人联合会主要是主管全县残疾人康复工作的县委群团组织参照公务员管理单位，主要职责是：引导残疾人树立起自立、自信、自强的健康向上精神；扶持贫困残疾人在生活、学习、就业、生产方面给予资金救助、帮助及提供职业技能培训。</w:t>
      </w:r>
    </w:p>
    <w:p>
      <w:pPr>
        <w:spacing w:line="400" w:lineRule="exact"/>
        <w:ind w:firstLine="656" w:firstLineChars="200"/>
        <w:rPr>
          <w:rFonts w:ascii="黑体" w:hAnsi="黑体" w:eastAsia="黑体" w:cs="黑体"/>
          <w:spacing w:val="4"/>
          <w:sz w:val="32"/>
          <w:szCs w:val="32"/>
        </w:rPr>
      </w:pPr>
      <w:r>
        <w:rPr>
          <w:rFonts w:hint="eastAsia" w:ascii="黑体" w:hAnsi="黑体" w:eastAsia="黑体" w:cs="黑体"/>
          <w:spacing w:val="4"/>
          <w:sz w:val="32"/>
          <w:szCs w:val="32"/>
        </w:rPr>
        <w:t>二、部门基本情况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本部门共有预算单位1个，全南县残疾人联合会为参照公务员管理事业单位，基本情况：事业编制4人，领导职数：理事长1名。实有人数6人：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在职人数小计2人，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行政在职人数1人，全部补助事业在职人数1人。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退休人数小计2人，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临聘人员2人。</w:t>
      </w:r>
    </w:p>
    <w:p>
      <w:pPr>
        <w:widowControl/>
        <w:spacing w:line="400" w:lineRule="exact"/>
        <w:jc w:val="center"/>
        <w:rPr>
          <w:rFonts w:asciiTheme="majorEastAsia" w:hAnsiTheme="majorEastAsia" w:eastAsiaTheme="majorEastAsia" w:cstheme="majorEastAsia"/>
          <w:b/>
          <w:bCs/>
          <w:sz w:val="36"/>
          <w:szCs w:val="36"/>
        </w:rPr>
      </w:pPr>
    </w:p>
    <w:p>
      <w:pPr>
        <w:widowControl/>
        <w:spacing w:line="40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第二部分 残疾人联合会2022年部门预算表</w:t>
      </w:r>
    </w:p>
    <w:p>
      <w:pPr>
        <w:spacing w:line="400" w:lineRule="exact"/>
        <w:ind w:firstLine="3187" w:firstLineChars="996"/>
        <w:rPr>
          <w:rFonts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spacing w:line="400" w:lineRule="exact"/>
        <w:ind w:firstLine="627" w:firstLineChars="196"/>
        <w:rPr>
          <w:rFonts w:ascii="??_GB2312" w:hAnsi="??_GB2312" w:cs="??_GB2312"/>
          <w:sz w:val="32"/>
          <w:szCs w:val="32"/>
        </w:rPr>
      </w:pPr>
    </w:p>
    <w:p>
      <w:pPr>
        <w:widowControl/>
        <w:spacing w:line="400" w:lineRule="exact"/>
        <w:jc w:val="center"/>
        <w:rPr>
          <w:rFonts w:asciiTheme="majorEastAsia" w:hAnsiTheme="majorEastAsia" w:eastAsiaTheme="majorEastAsia" w:cstheme="majorEastAsia"/>
          <w:b/>
          <w:bCs/>
          <w:sz w:val="36"/>
          <w:szCs w:val="36"/>
        </w:rPr>
      </w:pPr>
    </w:p>
    <w:p>
      <w:pPr>
        <w:widowControl/>
        <w:spacing w:line="40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第三部分 残疾人联合会2022年部门预算情况说明</w:t>
      </w:r>
    </w:p>
    <w:p>
      <w:pPr>
        <w:spacing w:line="400" w:lineRule="exact"/>
        <w:ind w:firstLine="656" w:firstLineChars="200"/>
        <w:rPr>
          <w:rFonts w:ascii="黑体" w:hAnsi="黑体" w:eastAsia="黑体" w:cs="黑体"/>
          <w:spacing w:val="4"/>
          <w:sz w:val="32"/>
          <w:szCs w:val="32"/>
        </w:rPr>
      </w:pPr>
      <w:r>
        <w:rPr>
          <w:rFonts w:hint="eastAsia" w:ascii="黑体" w:hAnsi="黑体" w:eastAsia="黑体" w:cs="黑体"/>
          <w:spacing w:val="4"/>
          <w:sz w:val="32"/>
          <w:szCs w:val="32"/>
        </w:rPr>
        <w:t>一、部门预算收支情况说明</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(一)收入预算情况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2022年全南县残疾人联合会收入预算总额为26.15万元，较上年预算安排减少101.05万元，其中:财政拨款收入26.15万元，较上年预算安排减少101.05万元。</w:t>
      </w:r>
    </w:p>
    <w:p>
      <w:pPr>
        <w:pStyle w:val="2"/>
      </w:pP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(二)支出预算情况</w:t>
      </w:r>
      <w:r>
        <w:rPr>
          <w:rFonts w:hint="eastAsia" w:ascii="楷体" w:hAnsi="楷体" w:eastAsia="楷体" w:cs="楷体"/>
          <w:b/>
          <w:bCs/>
          <w:sz w:val="32"/>
          <w:szCs w:val="32"/>
        </w:rPr>
        <w:tab/>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2022年全南县残疾人联合会支出预算总额为26.15万元，较上年预算安排减少101.05万元。</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23.97万元，比上年预算安排增加2.37万元；包括工资福利支出17.98万元，较上年预算安排减少0.35万元；商品和服务支出5.46万元，较上年预算安排增加2.88万元；对个人和家庭的补助0.53万元，较上年预算安排减少0.17万元；项目支出2.18万元，其中：商品和服务支出1.18万元，资本性支出1万元。</w:t>
      </w:r>
    </w:p>
    <w:p>
      <w:pPr>
        <w:spacing w:line="4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分类：行政运行20.72万元，较上年预算安排减少0.17万元，事业单位离退休0.53万元，较上年预算安排减少0.17万元，机关事业单位基本养老保险缴费支出2.18万元，行政单位医疗0.54万元，较上年预算安排减少0.04万元，一般行政管理事务2.18万元,较上年预算安排减少0.4万元。</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按支出经济分类：工资福利支出17.98万元，较上年预算安排减少0.35万元；商品和服务支出5.46万元，较上年预算安排增加2.88万元；对个人和家庭的补助0.53万元，较上年预算安排减少0.17万元；项目支出2.18万元，其中：商品和服务支出1.18万元，资本性支出1万元。</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(三)财政拨款支出情况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2022年全南县残疾人联合会财政拨款支出预算26.15万元，较上年预算安排减少0.45万元。</w:t>
      </w:r>
    </w:p>
    <w:p>
      <w:pPr>
        <w:spacing w:line="4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分类：行政运行20.72万元，较上年预算安排减少0.17万元，事业单位离退休0.53万元，较上年预算安排减少0.17万元，机关事业单位基本养老保险缴费支出2.18万元，行政单位医疗0.54万元，较上年预算安排减少0.04万元，一般行政管理事务2.18万元,较上年预算安排减少0.4万元。</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23.97万元，比上年预算安排增加2.37万元；包括工资福利支出17.98万元，较上年预算安排减少0.35万元；商品和服务支出5.46万元，较上年预算安排增加2.88万元；对个人和家庭的补助0.53万元，较上年预算安排减少0.17万元；项目支出2.18万元，其中：商品和服务支出1.18万元，资本性支出1万元。</w:t>
      </w:r>
      <w:bookmarkStart w:id="0" w:name="_GoBack"/>
      <w:bookmarkEnd w:id="0"/>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(四)政府性基金情况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无政府性基金预算拨款安排的支出情况。</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（五）国有资本经营情况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没有使用国有资本经营预算拨款安排的支出。</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(六)机关运行经费等重要事项的说明</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2022年本部门机关运行经费财政拨款预算5.46万元。比2021年预算增加2.88万元，增长111.6%。</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(七)政府采购情况</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2022年本部门政府采购预算共安排1万元。其中，货物采购预算1万元，</w:t>
      </w:r>
      <w:r>
        <w:rPr>
          <w:rStyle w:val="11"/>
          <w:rFonts w:hint="eastAsia" w:ascii="仿宋_GB2312" w:hAnsi="仿宋_GB2312" w:eastAsia="仿宋_GB2312" w:cs="仿宋_GB2312"/>
          <w:sz w:val="32"/>
          <w:szCs w:val="32"/>
        </w:rPr>
        <w:t>政府采购工程预算</w:t>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${page400644146.ds162027011_REP_3600_BGT_GOVPUR_DXQ_CGGC}</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0</w:t>
      </w:r>
      <w:r>
        <w:rPr>
          <w:rStyle w:val="11"/>
          <w:rFonts w:hint="eastAsia" w:ascii="仿宋_GB2312" w:hAnsi="仿宋_GB2312" w:eastAsia="仿宋_GB2312" w:cs="仿宋_GB2312"/>
          <w:sz w:val="32"/>
          <w:szCs w:val="32"/>
        </w:rPr>
        <w:fldChar w:fldCharType="end"/>
      </w:r>
      <w:r>
        <w:rPr>
          <w:rStyle w:val="11"/>
          <w:rFonts w:hint="eastAsia" w:ascii="仿宋_GB2312" w:hAnsi="仿宋_GB2312" w:eastAsia="仿宋_GB2312" w:cs="仿宋_GB2312"/>
          <w:sz w:val="32"/>
          <w:szCs w:val="32"/>
        </w:rPr>
        <w:t>万元，政府采购服务预算0万元。</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(八)有资产占用情况说明</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截至2021年12月31日，部门共有车辆1辆，其中：专用车实有数1辆。</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2022年部门预算安排购置车辆0辆，安排购置单位价值200万元以上大型设备0辆。</w:t>
      </w:r>
    </w:p>
    <w:p>
      <w:pPr>
        <w:spacing w:line="400" w:lineRule="exact"/>
        <w:ind w:firstLine="630" w:firstLineChars="196"/>
        <w:rPr>
          <w:rFonts w:ascii="楷体" w:hAnsi="楷体" w:eastAsia="楷体" w:cs="楷体"/>
          <w:b/>
          <w:bCs/>
          <w:sz w:val="32"/>
          <w:szCs w:val="32"/>
        </w:rPr>
      </w:pPr>
      <w:r>
        <w:rPr>
          <w:rFonts w:hint="eastAsia" w:ascii="楷体" w:hAnsi="楷体" w:eastAsia="楷体" w:cs="楷体"/>
          <w:b/>
          <w:bCs/>
          <w:sz w:val="32"/>
          <w:szCs w:val="32"/>
        </w:rPr>
        <w:t>(九)重点项目情况说明</w:t>
      </w:r>
    </w:p>
    <w:p>
      <w:pPr>
        <w:numPr>
          <w:ilvl w:val="0"/>
          <w:numId w:val="1"/>
        </w:num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残疾人就业保障金</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（1）项目概述：保障残疾人合法权益，开展各项残疾人扶助、救济相关活动。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（2）立项依据：财税 [2015]72号</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（3）实施主体：全南县残疾人联合会</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（4）实施方案：根据工作职能安排，该项目由县残联统筹安排各项工作。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（5）实施周期：一年</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（6）年度预算安排：90.8万元</w:t>
      </w:r>
    </w:p>
    <w:p>
      <w:pPr>
        <w:spacing w:line="4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（7）绩效目标和指标：</w:t>
      </w:r>
    </w:p>
    <w:tbl>
      <w:tblPr>
        <w:tblStyle w:val="6"/>
        <w:tblW w:w="9517" w:type="dxa"/>
        <w:jc w:val="center"/>
        <w:tblLayout w:type="autofit"/>
        <w:tblCellMar>
          <w:top w:w="0" w:type="dxa"/>
          <w:left w:w="108" w:type="dxa"/>
          <w:bottom w:w="0" w:type="dxa"/>
          <w:right w:w="108" w:type="dxa"/>
        </w:tblCellMar>
      </w:tblPr>
      <w:tblGrid>
        <w:gridCol w:w="1523"/>
        <w:gridCol w:w="1084"/>
        <w:gridCol w:w="5925"/>
        <w:gridCol w:w="985"/>
      </w:tblGrid>
      <w:tr>
        <w:tblPrEx>
          <w:tblCellMar>
            <w:top w:w="0" w:type="dxa"/>
            <w:left w:w="108" w:type="dxa"/>
            <w:bottom w:w="0" w:type="dxa"/>
            <w:right w:w="108" w:type="dxa"/>
          </w:tblCellMar>
        </w:tblPrEx>
        <w:trPr>
          <w:trHeight w:val="621" w:hRule="atLeast"/>
          <w:jc w:val="center"/>
        </w:trPr>
        <w:tc>
          <w:tcPr>
            <w:tcW w:w="951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年度绩效目标</w:t>
            </w:r>
          </w:p>
        </w:tc>
      </w:tr>
      <w:tr>
        <w:tblPrEx>
          <w:tblCellMar>
            <w:top w:w="0" w:type="dxa"/>
            <w:left w:w="108" w:type="dxa"/>
            <w:bottom w:w="0" w:type="dxa"/>
            <w:right w:w="108" w:type="dxa"/>
          </w:tblCellMar>
        </w:tblPrEx>
        <w:trPr>
          <w:trHeight w:val="1032" w:hRule="atLeast"/>
          <w:jc w:val="center"/>
        </w:trPr>
        <w:tc>
          <w:tcPr>
            <w:tcW w:w="9517" w:type="dxa"/>
            <w:gridSpan w:val="4"/>
            <w:tcBorders>
              <w:top w:val="single" w:color="000000" w:sz="4" w:space="0"/>
              <w:left w:val="single" w:color="000000" w:sz="4" w:space="0"/>
              <w:bottom w:val="nil"/>
              <w:right w:val="single" w:color="000000" w:sz="4" w:space="0"/>
            </w:tcBorders>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保障全县开展民政民生业务，开展各项民政相关活动。</w:t>
            </w:r>
          </w:p>
        </w:tc>
      </w:tr>
      <w:tr>
        <w:tblPrEx>
          <w:tblCellMar>
            <w:top w:w="0" w:type="dxa"/>
            <w:left w:w="108" w:type="dxa"/>
            <w:bottom w:w="0" w:type="dxa"/>
            <w:right w:w="108" w:type="dxa"/>
          </w:tblCellMar>
        </w:tblPrEx>
        <w:trPr>
          <w:trHeight w:val="643" w:hRule="atLeast"/>
          <w:jc w:val="center"/>
        </w:trPr>
        <w:tc>
          <w:tcPr>
            <w:tcW w:w="152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一级指标</w:t>
            </w:r>
          </w:p>
        </w:tc>
        <w:tc>
          <w:tcPr>
            <w:tcW w:w="108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三级指标</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指标值</w:t>
            </w:r>
          </w:p>
        </w:tc>
      </w:tr>
      <w:tr>
        <w:tblPrEx>
          <w:tblCellMar>
            <w:top w:w="0" w:type="dxa"/>
            <w:left w:w="108" w:type="dxa"/>
            <w:bottom w:w="0" w:type="dxa"/>
            <w:right w:w="108" w:type="dxa"/>
          </w:tblCellMar>
        </w:tblPrEx>
        <w:trPr>
          <w:trHeight w:val="518" w:hRule="atLeast"/>
          <w:jc w:val="center"/>
        </w:trPr>
        <w:tc>
          <w:tcPr>
            <w:tcW w:w="15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产出指标</w:t>
            </w:r>
          </w:p>
        </w:tc>
        <w:tc>
          <w:tcPr>
            <w:tcW w:w="108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资金保障乡镇、城市社区数量</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10个</w:t>
            </w:r>
          </w:p>
        </w:tc>
      </w:tr>
      <w:tr>
        <w:tblPrEx>
          <w:tblCellMar>
            <w:top w:w="0" w:type="dxa"/>
            <w:left w:w="108" w:type="dxa"/>
            <w:bottom w:w="0" w:type="dxa"/>
            <w:right w:w="108" w:type="dxa"/>
          </w:tblCellMar>
        </w:tblPrEx>
        <w:trPr>
          <w:trHeight w:val="780" w:hRule="atLeast"/>
          <w:jc w:val="center"/>
        </w:trPr>
        <w:tc>
          <w:tcPr>
            <w:tcW w:w="1523"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1084"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完成时间</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当年</w:t>
            </w:r>
          </w:p>
        </w:tc>
      </w:tr>
      <w:tr>
        <w:tblPrEx>
          <w:tblCellMar>
            <w:top w:w="0" w:type="dxa"/>
            <w:left w:w="108" w:type="dxa"/>
            <w:bottom w:w="0" w:type="dxa"/>
            <w:right w:w="108" w:type="dxa"/>
          </w:tblCellMar>
        </w:tblPrEx>
        <w:trPr>
          <w:trHeight w:val="501" w:hRule="atLeast"/>
          <w:jc w:val="center"/>
        </w:trPr>
        <w:tc>
          <w:tcPr>
            <w:tcW w:w="1523" w:type="dxa"/>
            <w:vMerge w:val="restart"/>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效益指标</w:t>
            </w:r>
          </w:p>
        </w:tc>
        <w:tc>
          <w:tcPr>
            <w:tcW w:w="10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w:t>
            </w:r>
          </w:p>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残疾对象保障程度</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不断完善</w:t>
            </w:r>
          </w:p>
        </w:tc>
      </w:tr>
      <w:tr>
        <w:tblPrEx>
          <w:tblCellMar>
            <w:top w:w="0" w:type="dxa"/>
            <w:left w:w="108" w:type="dxa"/>
            <w:bottom w:w="0" w:type="dxa"/>
            <w:right w:w="108" w:type="dxa"/>
          </w:tblCellMar>
        </w:tblPrEx>
        <w:trPr>
          <w:trHeight w:val="920" w:hRule="atLeast"/>
          <w:jc w:val="center"/>
        </w:trPr>
        <w:tc>
          <w:tcPr>
            <w:tcW w:w="1523" w:type="dxa"/>
            <w:vMerge w:val="continue"/>
            <w:tcBorders>
              <w:left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1084"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sz w:val="28"/>
                <w:szCs w:val="28"/>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textAlignment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682" w:hRule="atLeast"/>
          <w:jc w:val="center"/>
        </w:trPr>
        <w:tc>
          <w:tcPr>
            <w:tcW w:w="1523"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108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可持续影响</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社会保障水平</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tabs>
                <w:tab w:val="left" w:pos="417"/>
              </w:tabs>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稳步提升</w:t>
            </w:r>
          </w:p>
        </w:tc>
      </w:tr>
      <w:tr>
        <w:tblPrEx>
          <w:tblCellMar>
            <w:top w:w="0" w:type="dxa"/>
            <w:left w:w="108" w:type="dxa"/>
            <w:bottom w:w="0" w:type="dxa"/>
            <w:right w:w="108" w:type="dxa"/>
          </w:tblCellMar>
        </w:tblPrEx>
        <w:trPr>
          <w:trHeight w:val="547" w:hRule="atLeast"/>
          <w:jc w:val="center"/>
        </w:trPr>
        <w:tc>
          <w:tcPr>
            <w:tcW w:w="1523" w:type="dxa"/>
            <w:vMerge w:val="restart"/>
            <w:tcBorders>
              <w:top w:val="single" w:color="000000" w:sz="4" w:space="0"/>
              <w:left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满意度</w:t>
            </w:r>
          </w:p>
        </w:tc>
        <w:tc>
          <w:tcPr>
            <w:tcW w:w="1084" w:type="dxa"/>
            <w:vMerge w:val="restart"/>
            <w:tcBorders>
              <w:top w:val="single" w:color="000000" w:sz="4" w:space="0"/>
              <w:left w:val="single" w:color="000000" w:sz="4" w:space="0"/>
              <w:right w:val="single" w:color="000000" w:sz="4" w:space="0"/>
            </w:tcBorders>
            <w:vAlign w:val="center"/>
          </w:tcPr>
          <w:p>
            <w:pPr>
              <w:tabs>
                <w:tab w:val="left" w:pos="429"/>
              </w:tabs>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满意度</w:t>
            </w: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受保障对象满意度</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十分满意</w:t>
            </w:r>
          </w:p>
        </w:tc>
      </w:tr>
      <w:tr>
        <w:tblPrEx>
          <w:tblCellMar>
            <w:top w:w="0" w:type="dxa"/>
            <w:left w:w="108" w:type="dxa"/>
            <w:bottom w:w="0" w:type="dxa"/>
            <w:right w:w="108" w:type="dxa"/>
          </w:tblCellMar>
        </w:tblPrEx>
        <w:trPr>
          <w:trHeight w:val="1072" w:hRule="atLeast"/>
          <w:jc w:val="center"/>
        </w:trPr>
        <w:tc>
          <w:tcPr>
            <w:tcW w:w="1523"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1084" w:type="dxa"/>
            <w:vMerge w:val="continue"/>
            <w:tcBorders>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592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left"/>
              <w:textAlignment w:val="center"/>
              <w:rPr>
                <w:rFonts w:ascii="仿宋_GB2312" w:hAnsi="仿宋_GB2312" w:eastAsia="仿宋_GB2312" w:cs="仿宋_GB2312"/>
                <w:kern w:val="0"/>
                <w:sz w:val="28"/>
                <w:szCs w:val="28"/>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rPr>
            </w:pPr>
          </w:p>
        </w:tc>
      </w:tr>
    </w:tbl>
    <w:p>
      <w:pPr>
        <w:pStyle w:val="2"/>
      </w:pPr>
    </w:p>
    <w:p>
      <w:pPr>
        <w:pStyle w:val="2"/>
      </w:pPr>
    </w:p>
    <w:p>
      <w:pPr>
        <w:spacing w:line="400" w:lineRule="exact"/>
        <w:ind w:firstLine="656" w:firstLineChars="200"/>
        <w:rPr>
          <w:rFonts w:ascii="黑体" w:hAnsi="黑体" w:eastAsia="黑体" w:cs="黑体"/>
          <w:spacing w:val="4"/>
          <w:sz w:val="32"/>
          <w:szCs w:val="32"/>
        </w:rPr>
      </w:pPr>
      <w:r>
        <w:rPr>
          <w:rFonts w:hint="eastAsia" w:ascii="黑体" w:hAnsi="黑体" w:eastAsia="黑体" w:cs="黑体"/>
          <w:spacing w:val="4"/>
          <w:sz w:val="32"/>
          <w:szCs w:val="32"/>
        </w:rPr>
        <w:t>二、2022年“三公”经费预算情况说明</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2022年本部门“三公”经费年初预算安排4.02万元。</w:t>
      </w:r>
    </w:p>
    <w:p>
      <w:pPr>
        <w:spacing w:line="4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spacing w:line="40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因公出国（境）支出预算0万元，与上年持平，主要原因是：进一步落实“过紧日子”思想，厉行节约压减开支，严格控制“三公”经费支出。；</w:t>
      </w:r>
    </w:p>
    <w:p>
      <w:pPr>
        <w:spacing w:line="40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公务接待费0.82万元,与上年数持平，主要原因是：严格控制“三公”经费支出。</w:t>
      </w:r>
    </w:p>
    <w:p>
      <w:pPr>
        <w:spacing w:line="400" w:lineRule="exact"/>
        <w:ind w:firstLine="627" w:firstLineChars="19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公务用车运行3.2万元，与上年持平，主要原因是：进一步落实“过紧日子”思想，严格控制“三公”经费支出。</w:t>
      </w:r>
    </w:p>
    <w:p>
      <w:pPr>
        <w:spacing w:line="400" w:lineRule="exact"/>
        <w:ind w:firstLine="627" w:firstLineChars="196"/>
        <w:rPr>
          <w:rFonts w:ascii="仿宋_GB2312" w:hAnsi="仿宋_GB2312" w:eastAsia="仿宋_GB2312" w:cs="仿宋_GB2312"/>
          <w:b/>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${page400644146.ds215660413_REP_BGT_T_HC1100002019_DXQ02_ZCSGGZ}</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rPr>
        <w:t>万元，与上年持平，主要原因是：无安排新购置公务车。</w:t>
      </w:r>
    </w:p>
    <w:p>
      <w:pPr>
        <w:pStyle w:val="2"/>
        <w:ind w:firstLine="0" w:firstLineChars="0"/>
      </w:pPr>
    </w:p>
    <w:p>
      <w:pPr>
        <w:spacing w:line="400" w:lineRule="exact"/>
        <w:ind w:firstLine="627" w:firstLineChars="196"/>
        <w:rPr>
          <w:rFonts w:ascii="仿宋_GB2312" w:hAnsi="仿宋_GB2312" w:eastAsia="仿宋_GB2312" w:cs="仿宋_GB2312"/>
          <w:sz w:val="32"/>
          <w:szCs w:val="32"/>
        </w:rPr>
      </w:pPr>
    </w:p>
    <w:p>
      <w:pPr>
        <w:widowControl/>
        <w:spacing w:line="40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第四部分 名词解释</w:t>
      </w:r>
    </w:p>
    <w:p>
      <w:pPr>
        <w:widowControl/>
        <w:spacing w:line="59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一、收入科目</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0"/>
        </w:rPr>
        <w:t>（一）财政拨款收入：指单位本年度从本级</w:t>
      </w:r>
      <w:r>
        <w:rPr>
          <w:rFonts w:hint="eastAsia" w:ascii="仿宋_GB2312" w:hAnsi="仿宋_GB2312" w:eastAsia="仿宋_GB2312" w:cs="仿宋_GB2312"/>
          <w:sz w:val="32"/>
          <w:szCs w:val="32"/>
        </w:rPr>
        <w:t>财政部门取得的财政拨款，包括一般公共预算财政拨款和政府性基金预算财政拨款。</w:t>
      </w:r>
    </w:p>
    <w:p>
      <w:pPr>
        <w:widowControl/>
        <w:spacing w:line="58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二、支出科目</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0"/>
        </w:rPr>
        <w:t>（一</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0"/>
        </w:rPr>
        <w:t>（二</w:t>
      </w:r>
      <w:r>
        <w:rPr>
          <w:rFonts w:hint="eastAsia" w:ascii="仿宋_GB2312" w:hAnsi="仿宋_GB2312" w:eastAsia="仿宋_GB2312" w:cs="仿宋_GB2312"/>
          <w:sz w:val="32"/>
          <w:szCs w:val="32"/>
        </w:rPr>
        <w:t>）项目支出：指在基本支出之外为完成特定的行政任务或事业发展目标所发生的支出。</w:t>
      </w:r>
    </w:p>
    <w:p>
      <w:pPr>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0"/>
        </w:rPr>
        <w:t>（三</w:t>
      </w:r>
      <w:r>
        <w:rPr>
          <w:rFonts w:hint="eastAsia" w:ascii="仿宋_GB2312" w:hAnsi="仿宋_GB2312" w:eastAsia="仿宋_GB2312" w:cs="仿宋_GB2312"/>
          <w:sz w:val="32"/>
          <w:szCs w:val="32"/>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0"/>
        </w:rPr>
        <w:t>（四）</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widowControl/>
        <w:spacing w:line="58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三、</w:t>
      </w:r>
      <w:r>
        <w:rPr>
          <w:rFonts w:hint="eastAsia" w:ascii="黑体" w:hAnsi="黑体" w:eastAsia="黑体" w:cs="黑体"/>
          <w:bCs/>
          <w:sz w:val="32"/>
          <w:szCs w:val="32"/>
          <w:lang w:val="en-US" w:eastAsia="zh-CN"/>
        </w:rPr>
        <w:t>相关</w:t>
      </w:r>
      <w:r>
        <w:rPr>
          <w:rFonts w:hint="eastAsia" w:ascii="黑体" w:hAnsi="黑体" w:eastAsia="黑体" w:cs="黑体"/>
          <w:bCs/>
          <w:sz w:val="32"/>
          <w:szCs w:val="32"/>
        </w:rPr>
        <w:t>专业名词</w:t>
      </w:r>
    </w:p>
    <w:p>
      <w:pPr>
        <w:pStyle w:val="10"/>
        <w:spacing w:line="600" w:lineRule="atLeast"/>
        <w:ind w:firstLine="640"/>
        <w:jc w:val="left"/>
        <w:rPr>
          <w:rFonts w:ascii="仿宋_GB2312" w:eastAsia="仿宋_GB2312"/>
          <w:color w:val="000000"/>
          <w:sz w:val="32"/>
          <w:szCs w:val="32"/>
        </w:rPr>
      </w:pPr>
      <w:r>
        <w:rPr>
          <w:rFonts w:hint="eastAsia" w:ascii="仿宋_GB2312" w:eastAsia="仿宋_GB2312"/>
          <w:color w:val="000000"/>
          <w:kern w:val="2"/>
          <w:sz w:val="32"/>
          <w:szCs w:val="30"/>
        </w:rPr>
        <w:t>本单位无涉及的专业名称</w:t>
      </w:r>
      <w:r>
        <w:rPr>
          <w:rFonts w:hint="eastAsia" w:ascii="仿宋_GB2312" w:eastAsia="仿宋_GB2312"/>
          <w:color w:val="000000"/>
          <w:sz w:val="32"/>
          <w:szCs w:val="32"/>
        </w:rPr>
        <w:t>。</w:t>
      </w:r>
    </w:p>
    <w:p>
      <w:pPr>
        <w:pStyle w:val="2"/>
        <w:spacing w:line="400" w:lineRule="exact"/>
        <w:ind w:firstLine="640"/>
        <w:rPr>
          <w:rFonts w:ascii="仿宋_GB2312" w:hAnsi="仿宋_GB2312" w:eastAsia="仿宋_GB2312" w:cs="仿宋_GB2312"/>
          <w:sz w:val="32"/>
          <w:szCs w:val="32"/>
        </w:rPr>
      </w:pPr>
    </w:p>
    <w:p>
      <w:pPr>
        <w:spacing w:line="400" w:lineRule="exact"/>
        <w:ind w:firstLine="5760" w:firstLineChars="1800"/>
        <w:rPr>
          <w:rFonts w:ascii="仿宋_GB2312" w:hAnsi="仿宋_GB2312" w:eastAsia="仿宋_GB2312" w:cs="仿宋_GB2312"/>
          <w:sz w:val="32"/>
          <w:szCs w:val="32"/>
        </w:rPr>
      </w:pPr>
    </w:p>
    <w:sectPr>
      <w:footerReference r:id="rId3" w:type="default"/>
      <w:pgSz w:w="11906" w:h="16838"/>
      <w:pgMar w:top="1701" w:right="1588" w:bottom="1701" w:left="1588" w:header="851" w:footer="992" w:gutter="0"/>
      <w:pgNumType w:start="65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657</w:t>
                </w:r>
                <w:r>
                  <w:rPr>
                    <w:rFonts w:hint="eastAsia"/>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D8A64"/>
    <w:multiLevelType w:val="singleLevel"/>
    <w:tmpl w:val="B80D8A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lOTdlNzYwY2Y5OTc4OTgzZTM0ODUwOTIyMmQzZTIifQ=="/>
  </w:docVars>
  <w:rsids>
    <w:rsidRoot w:val="12FB053E"/>
    <w:rsid w:val="0005633F"/>
    <w:rsid w:val="000E5039"/>
    <w:rsid w:val="001010D8"/>
    <w:rsid w:val="001516DE"/>
    <w:rsid w:val="001702B5"/>
    <w:rsid w:val="00181EE8"/>
    <w:rsid w:val="001A0CA6"/>
    <w:rsid w:val="00202D50"/>
    <w:rsid w:val="002239BB"/>
    <w:rsid w:val="00237294"/>
    <w:rsid w:val="002408F1"/>
    <w:rsid w:val="00265526"/>
    <w:rsid w:val="0027308F"/>
    <w:rsid w:val="002E7D81"/>
    <w:rsid w:val="00385737"/>
    <w:rsid w:val="00397DE8"/>
    <w:rsid w:val="003C00CB"/>
    <w:rsid w:val="003F64AF"/>
    <w:rsid w:val="004405EE"/>
    <w:rsid w:val="004466B8"/>
    <w:rsid w:val="004F3523"/>
    <w:rsid w:val="00511451"/>
    <w:rsid w:val="0056164B"/>
    <w:rsid w:val="00567E00"/>
    <w:rsid w:val="00585B0F"/>
    <w:rsid w:val="005B1D4F"/>
    <w:rsid w:val="006E1DDF"/>
    <w:rsid w:val="006F2586"/>
    <w:rsid w:val="007147ED"/>
    <w:rsid w:val="00727BE3"/>
    <w:rsid w:val="00741CD1"/>
    <w:rsid w:val="00770DF4"/>
    <w:rsid w:val="00777084"/>
    <w:rsid w:val="007A35D5"/>
    <w:rsid w:val="007D2301"/>
    <w:rsid w:val="0081174A"/>
    <w:rsid w:val="008439CB"/>
    <w:rsid w:val="00887915"/>
    <w:rsid w:val="008C5E12"/>
    <w:rsid w:val="008E3CF3"/>
    <w:rsid w:val="00925CB8"/>
    <w:rsid w:val="00927422"/>
    <w:rsid w:val="00933537"/>
    <w:rsid w:val="00961AAC"/>
    <w:rsid w:val="009742F5"/>
    <w:rsid w:val="009948B8"/>
    <w:rsid w:val="009B5821"/>
    <w:rsid w:val="009D2A4E"/>
    <w:rsid w:val="009E137C"/>
    <w:rsid w:val="009E5069"/>
    <w:rsid w:val="00A200E5"/>
    <w:rsid w:val="00A616D3"/>
    <w:rsid w:val="00AD316F"/>
    <w:rsid w:val="00AF4B05"/>
    <w:rsid w:val="00B265D8"/>
    <w:rsid w:val="00B6003F"/>
    <w:rsid w:val="00B954E3"/>
    <w:rsid w:val="00C0197D"/>
    <w:rsid w:val="00C1608D"/>
    <w:rsid w:val="00C55DFD"/>
    <w:rsid w:val="00C92FFC"/>
    <w:rsid w:val="00D22F0D"/>
    <w:rsid w:val="00D603A0"/>
    <w:rsid w:val="00D7360D"/>
    <w:rsid w:val="00D740D2"/>
    <w:rsid w:val="00DF3406"/>
    <w:rsid w:val="00E017BC"/>
    <w:rsid w:val="00E56F6C"/>
    <w:rsid w:val="00E826D4"/>
    <w:rsid w:val="00EB2C00"/>
    <w:rsid w:val="00EB4B0A"/>
    <w:rsid w:val="00EF1555"/>
    <w:rsid w:val="00F33E02"/>
    <w:rsid w:val="00F96768"/>
    <w:rsid w:val="00FA7E8E"/>
    <w:rsid w:val="00FC38E9"/>
    <w:rsid w:val="00FD7137"/>
    <w:rsid w:val="02507428"/>
    <w:rsid w:val="048B1879"/>
    <w:rsid w:val="05BA74A2"/>
    <w:rsid w:val="0A796586"/>
    <w:rsid w:val="0F7B4868"/>
    <w:rsid w:val="12A3059B"/>
    <w:rsid w:val="12FB053E"/>
    <w:rsid w:val="135964C1"/>
    <w:rsid w:val="13F458BC"/>
    <w:rsid w:val="148A5367"/>
    <w:rsid w:val="17145727"/>
    <w:rsid w:val="1CD93B97"/>
    <w:rsid w:val="1E3E4975"/>
    <w:rsid w:val="21B37CEC"/>
    <w:rsid w:val="25FF7C0F"/>
    <w:rsid w:val="285762F0"/>
    <w:rsid w:val="285C6967"/>
    <w:rsid w:val="28A56495"/>
    <w:rsid w:val="299D2491"/>
    <w:rsid w:val="2A1937F2"/>
    <w:rsid w:val="2BE84DF1"/>
    <w:rsid w:val="2CBE5CC1"/>
    <w:rsid w:val="2CD97FD7"/>
    <w:rsid w:val="2E212CB1"/>
    <w:rsid w:val="2EFB3618"/>
    <w:rsid w:val="3027083C"/>
    <w:rsid w:val="352E572C"/>
    <w:rsid w:val="35CA5B8D"/>
    <w:rsid w:val="37063B21"/>
    <w:rsid w:val="3A0C49AF"/>
    <w:rsid w:val="3C5B043F"/>
    <w:rsid w:val="3FEB6C25"/>
    <w:rsid w:val="41B65856"/>
    <w:rsid w:val="459B668D"/>
    <w:rsid w:val="46211736"/>
    <w:rsid w:val="466E29BE"/>
    <w:rsid w:val="47B72254"/>
    <w:rsid w:val="47C20947"/>
    <w:rsid w:val="49186108"/>
    <w:rsid w:val="4DEE54C8"/>
    <w:rsid w:val="4F047A3E"/>
    <w:rsid w:val="55712C32"/>
    <w:rsid w:val="55B216F0"/>
    <w:rsid w:val="56B423B3"/>
    <w:rsid w:val="5883750A"/>
    <w:rsid w:val="597B0A28"/>
    <w:rsid w:val="59A31E1D"/>
    <w:rsid w:val="5A304F24"/>
    <w:rsid w:val="5AD6584F"/>
    <w:rsid w:val="5EF52FE4"/>
    <w:rsid w:val="602B66E2"/>
    <w:rsid w:val="60C024F1"/>
    <w:rsid w:val="65AC0CBA"/>
    <w:rsid w:val="69015866"/>
    <w:rsid w:val="69A21C18"/>
    <w:rsid w:val="704E67A9"/>
    <w:rsid w:val="71A0398B"/>
    <w:rsid w:val="738F1832"/>
    <w:rsid w:val="756A523B"/>
    <w:rsid w:val="778E5769"/>
    <w:rsid w:val="7839307D"/>
    <w:rsid w:val="7A2B3277"/>
    <w:rsid w:val="7DBD30FD"/>
    <w:rsid w:val="7E4327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semiHidden/>
    <w:qFormat/>
    <w:uiPriority w:val="99"/>
    <w:rPr>
      <w:rFonts w:ascii="Calibri" w:hAnsi="Calibri" w:cs="Calibri"/>
      <w:kern w:val="2"/>
      <w:sz w:val="18"/>
      <w:szCs w:val="18"/>
    </w:rPr>
  </w:style>
  <w:style w:type="character" w:customStyle="1" w:styleId="9">
    <w:name w:val="页脚 Char"/>
    <w:basedOn w:val="7"/>
    <w:link w:val="3"/>
    <w:semiHidden/>
    <w:qFormat/>
    <w:uiPriority w:val="99"/>
    <w:rPr>
      <w:rFonts w:ascii="Calibri" w:hAnsi="Calibri" w:cs="Calibri"/>
      <w:kern w:val="2"/>
      <w:sz w:val="18"/>
      <w:szCs w:val="18"/>
    </w:rPr>
  </w:style>
  <w:style w:type="paragraph" w:customStyle="1" w:styleId="10">
    <w:name w:val="p0"/>
    <w:basedOn w:val="1"/>
    <w:qFormat/>
    <w:uiPriority w:val="0"/>
    <w:pPr>
      <w:widowControl/>
    </w:pPr>
    <w:rPr>
      <w:rFonts w:ascii="Times New Roman" w:hAnsi="Times New Roman" w:cs="Times New Roman"/>
      <w:kern w:val="0"/>
    </w:rPr>
  </w:style>
  <w:style w:type="character" w:customStyle="1" w:styleId="11">
    <w:name w:val="row_tree_level_4"/>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2659</Words>
  <Characters>2914</Characters>
  <Lines>24</Lines>
  <Paragraphs>6</Paragraphs>
  <TotalTime>0</TotalTime>
  <ScaleCrop>false</ScaleCrop>
  <LinksUpToDate>false</LinksUpToDate>
  <CharactersWithSpaces>2928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2023-06-14T08:00:00Z</dcterms:created>
  <dc:creator>Administrator</dc:creator>
  <cp:lastModifiedBy>呆毛</cp:lastModifiedBy>
  <cp:lastPrinted>2021-04-08T01:54:00Z</cp:lastPrinted>
  <dcterms:modified xsi:type="dcterms:W3CDTF">2023-06-16T03:58:31Z</dcterms:modified>
  <dc:title>全南县残疾人联合会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3B231E65C1014933BE898EBC05E18636</vt:lpwstr>
  </property>
</Properties>
</file>