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both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全</w:t>
      </w:r>
      <w:r>
        <w:rPr>
          <w:rFonts w:hint="eastAsia" w:ascii="仿宋_GB2312" w:hAnsi="宋体" w:eastAsia="仿宋_GB2312"/>
          <w:sz w:val="32"/>
          <w:szCs w:val="32"/>
        </w:rPr>
        <w:t>森防指〔20</w:t>
      </w:r>
      <w:r>
        <w:rPr>
          <w:rFonts w:ascii="仿宋_GB2312" w:hAnsi="宋体" w:eastAsia="仿宋_GB2312"/>
          <w:sz w:val="32"/>
          <w:szCs w:val="32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关于印发《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全南县</w:t>
      </w:r>
      <w:r>
        <w:rPr>
          <w:rFonts w:hint="eastAsia" w:ascii="方正小标宋简体" w:eastAsia="方正小标宋简体"/>
          <w:bCs/>
          <w:sz w:val="44"/>
          <w:szCs w:val="44"/>
        </w:rPr>
        <w:t>半专业扑火队大比武活动实施方案》的通知</w:t>
      </w:r>
    </w:p>
    <w:p>
      <w:pPr>
        <w:spacing w:line="0" w:lineRule="atLeas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/>
          <w:bCs/>
          <w:szCs w:val="21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乡（镇）人民政府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县应急管理局、县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林业局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高峰公司、天龙公司、茅山林场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经县领导同意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现将《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全南县</w:t>
      </w:r>
      <w:r>
        <w:rPr>
          <w:rFonts w:hint="eastAsia" w:ascii="仿宋_GB2312" w:eastAsia="仿宋_GB2312"/>
          <w:sz w:val="32"/>
          <w:szCs w:val="32"/>
        </w:rPr>
        <w:t>半专业扑火队大比武活动实施方案》印发给你们，请抓好贯彻落实。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  <w:rPr>
          <w:rFonts w:hint="eastAsia" w:ascii="宋体" w:hAnsi="宋体" w:eastAsia="仿宋_GB2312" w:cs="仿宋"/>
          <w:sz w:val="32"/>
          <w:szCs w:val="32"/>
        </w:rPr>
      </w:pPr>
      <w:r>
        <w:rPr>
          <w:rFonts w:hint="eastAsia" w:ascii="宋体" w:hAnsi="宋体" w:eastAsia="仿宋_GB2312" w:cs="仿宋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  <w:rPr>
          <w:rFonts w:ascii="宋体" w:hAnsi="宋体" w:eastAsia="仿宋_GB2312" w:cs="仿宋"/>
          <w:sz w:val="32"/>
          <w:szCs w:val="32"/>
        </w:rPr>
      </w:pPr>
      <w:r>
        <w:rPr>
          <w:rFonts w:hint="eastAsia" w:ascii="宋体" w:hAnsi="宋体" w:eastAsia="仿宋_GB2312" w:cs="仿宋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640"/>
        <w:jc w:val="center"/>
        <w:textAlignment w:val="auto"/>
        <w:rPr>
          <w:rFonts w:ascii="宋体" w:hAnsi="宋体" w:eastAsia="仿宋_GB2312" w:cs="仿宋"/>
          <w:sz w:val="32"/>
          <w:szCs w:val="32"/>
        </w:rPr>
      </w:pPr>
      <w:r>
        <w:rPr>
          <w:rFonts w:hint="eastAsia" w:ascii="宋体" w:hAnsi="宋体" w:eastAsia="仿宋_GB2312" w:cs="仿宋"/>
          <w:sz w:val="32"/>
          <w:szCs w:val="32"/>
        </w:rPr>
        <w:t xml:space="preserve">                        </w:t>
      </w:r>
      <w:r>
        <w:rPr>
          <w:rFonts w:hint="eastAsia" w:ascii="宋体" w:hAnsi="宋体" w:eastAsia="仿宋_GB2312" w:cs="仿宋"/>
          <w:sz w:val="32"/>
          <w:szCs w:val="32"/>
          <w:lang w:val="en-US" w:eastAsia="zh-CN"/>
        </w:rPr>
        <w:t>全南县</w:t>
      </w:r>
      <w:r>
        <w:rPr>
          <w:rFonts w:hint="eastAsia" w:ascii="宋体" w:hAnsi="宋体" w:eastAsia="仿宋_GB2312" w:cs="仿宋"/>
          <w:sz w:val="32"/>
          <w:szCs w:val="32"/>
        </w:rPr>
        <w:t>森林防灭火指挥部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64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4519930</wp:posOffset>
            </wp:positionH>
            <wp:positionV relativeFrom="page">
              <wp:posOffset>4643120</wp:posOffset>
            </wp:positionV>
            <wp:extent cx="9525" cy="9525"/>
            <wp:effectExtent l="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 xml:space="preserve">                          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64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全南县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半专业扑火队大比武活动实施方案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半专业扑火队大练兵大比武活动方案》要求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为检验全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半专业扑火队员大练兵成果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森防指决定开展全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半专业扑火队大比武活动，为确保活动有序进行，特制定本方案。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日上午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40分在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县第二中学集合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二、比武内容与方式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（一）比武方式：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每个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镇、场、公司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选派半专业扑火队1</w:t>
      </w:r>
      <w:r>
        <w:rPr>
          <w:rFonts w:ascii="仿宋_GB2312" w:hAnsi="仿宋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名队员参赛。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（二）比武科目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比武科目设3项，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分别是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理论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知识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体能（1500米负重跑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）和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技能（风力灭火机、油锯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操作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比武规则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评分细则详见附件。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</w:rPr>
        <w:t>（三）成绩计算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团体成绩：将所有科目最终得分进行累加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其中理论知识以所有参赛队员的平均成绩进行计分；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个人成绩：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1500米负重跑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风力灭火机和油锯操作分别以参赛队员的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总分数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高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低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排名进行计分。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若出现团体总成绩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个人总成绩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相等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时排名并列。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三、比武结果评定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00"/>
        <w:jc w:val="lef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按照《全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</w:rPr>
        <w:t>半专业</w:t>
      </w: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扑火队</w:t>
      </w:r>
      <w:r>
        <w:rPr>
          <w:rFonts w:hint="eastAsia" w:ascii="仿宋_GB2312" w:eastAsia="仿宋_GB2312"/>
          <w:color w:val="auto"/>
          <w:sz w:val="32"/>
          <w:szCs w:val="32"/>
        </w:rPr>
        <w:t>大练兵大比武活动方案》要求，对比武结果明确如下：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团体奖励：取团体成绩前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196"/>
        <w:jc w:val="left"/>
        <w:textAlignment w:val="auto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（二）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个人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奖励：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体能、技能项目按个人总分数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高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至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低各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取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196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宋体"/>
          <w:b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对团体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eastAsia="zh-CN"/>
        </w:rPr>
        <w:t>总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成绩前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名获奖单位颁发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奖牌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对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体能、技能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科目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个人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成绩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前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颁发荣誉证书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和物资奖励。</w:t>
      </w:r>
      <w:r>
        <w:rPr>
          <w:rFonts w:hint="eastAsia" w:ascii="仿宋_GB2312" w:eastAsia="仿宋_GB2312"/>
          <w:sz w:val="32"/>
          <w:szCs w:val="32"/>
        </w:rPr>
        <w:t>比武结果纳入本年度应急管理综合考核内容。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四、组织机构设置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本次大比武活动由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森林防灭火指挥部统一组织实施，成立大比武活动领导小组，其组成人员如下：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组  长：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肖进林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副组长：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陈东辉、谌伟平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宋体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成  员：</w:t>
      </w:r>
      <w:r>
        <w:rPr>
          <w:rFonts w:hint="eastAsia" w:ascii="宋体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钟骏斌、刘保卫、刘雨珍、钟仁生、黄东海、黄向明、王荣洪、温石永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领导小组下设6个工作组，包括综合协调组、裁判评定组、后勤保障组、宣传报道组、医疗保障组和安全保卫组。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（一）综合协调组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组  长：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刘保卫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成  员：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刘雨珍、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钟仁生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汤文娟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主要职责：全面负责比武竞赛活动的组织工作。负责比武竞赛现场组织指挥，统筹</w:t>
      </w:r>
      <w:r>
        <w:rPr>
          <w:rFonts w:hint="eastAsia" w:ascii="仿宋_GB2312" w:hAnsi="仿宋" w:eastAsia="仿宋_GB2312" w:cs="宋体"/>
          <w:sz w:val="32"/>
          <w:szCs w:val="32"/>
        </w:rPr>
        <w:t>协调各工作组和各比武科目的协同配合；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负责</w:t>
      </w:r>
      <w:r>
        <w:rPr>
          <w:rFonts w:hint="eastAsia" w:ascii="仿宋_GB2312" w:hAnsi="仿宋" w:eastAsia="仿宋_GB2312" w:cs="宋体"/>
          <w:sz w:val="32"/>
          <w:szCs w:val="32"/>
        </w:rPr>
        <w:t>拟定比武活动方案、程序以及开闭幕式会务材料；负责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比武竞赛场地设置及器材机具保障等。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（二）裁判评定组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组  长：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黄东海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成  员：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黄向明、县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专业森林消防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大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队骨干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主要职责：负责核实检查参赛人员身份、着装及机具装备，负责落实比武竞赛内容和成绩统计汇总，确定比赛名次等。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（三）后勤保障组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组  长：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郭芳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成  员：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王荣洪、县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专业森林消防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大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队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三队队员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主要职责：</w:t>
      </w:r>
      <w:r>
        <w:rPr>
          <w:rFonts w:hint="eastAsia" w:ascii="仿宋_GB2312" w:hAnsi="仿宋" w:eastAsia="仿宋_GB2312" w:cs="宋体"/>
          <w:sz w:val="32"/>
          <w:szCs w:val="32"/>
        </w:rPr>
        <w:t>负责活动的经费预算、物品购置、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中餐</w:t>
      </w:r>
      <w:r>
        <w:rPr>
          <w:rFonts w:hint="eastAsia" w:ascii="仿宋_GB2312" w:hAnsi="仿宋" w:eastAsia="仿宋_GB2312" w:cs="宋体"/>
          <w:sz w:val="32"/>
          <w:szCs w:val="32"/>
        </w:rPr>
        <w:t>安排、奖牌制作和开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sz w:val="32"/>
          <w:szCs w:val="32"/>
        </w:rPr>
        <w:t>闭幕式会务保障工作，负责各参赛队伍协调和对接工作。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（四）宣传报道组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组  长：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杜梦雯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成  员：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叶其军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142" w:firstLine="640" w:firstLineChars="200"/>
        <w:jc w:val="lef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主要职责：</w:t>
      </w:r>
      <w:r>
        <w:rPr>
          <w:rFonts w:hint="eastAsia" w:ascii="仿宋_GB2312" w:hAnsi="仿宋" w:eastAsia="仿宋_GB2312" w:cs="宋体"/>
          <w:sz w:val="32"/>
          <w:szCs w:val="32"/>
        </w:rPr>
        <w:t>负责活动的宣传报道工作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sz w:val="32"/>
          <w:szCs w:val="32"/>
        </w:rPr>
        <w:t>包括现场摄像、照相，负责联系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媒体</w:t>
      </w:r>
      <w:r>
        <w:rPr>
          <w:rFonts w:hint="eastAsia" w:ascii="仿宋_GB2312" w:hAnsi="仿宋" w:eastAsia="仿宋_GB2312" w:cs="宋体"/>
          <w:sz w:val="32"/>
          <w:szCs w:val="32"/>
        </w:rPr>
        <w:t>记者。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（五）安全保卫组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组  长：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温石永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成  员：县专业森林消防大队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一队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队员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142"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主要职责：</w:t>
      </w:r>
      <w:r>
        <w:rPr>
          <w:rFonts w:hint="eastAsia" w:ascii="仿宋_GB2312" w:hAnsi="仿宋" w:eastAsia="仿宋_GB2312" w:cs="宋体"/>
          <w:sz w:val="32"/>
          <w:szCs w:val="32"/>
        </w:rPr>
        <w:t>负责比武竞赛现场及周边的安全保卫工作，疏导交通、引导车辆通行和停放；维护秩序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sz w:val="32"/>
          <w:szCs w:val="32"/>
        </w:rPr>
        <w:t>处置突发事件。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（六）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疫情防控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组  长：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黄晓文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成  员：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邱海桂、李桂、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县医务人员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142" w:firstLine="640" w:firstLineChars="200"/>
        <w:jc w:val="lef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主要职责：</w:t>
      </w:r>
      <w:r>
        <w:rPr>
          <w:rFonts w:hint="eastAsia" w:ascii="仿宋" w:hAnsi="仿宋" w:eastAsia="仿宋" w:cs="仿宋_GB2312"/>
          <w:sz w:val="32"/>
          <w:szCs w:val="32"/>
        </w:rPr>
        <w:t>负责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查看参赛</w:t>
      </w:r>
      <w:r>
        <w:rPr>
          <w:rFonts w:hint="eastAsia" w:ascii="仿宋" w:hAnsi="仿宋" w:eastAsia="仿宋" w:cs="仿宋_GB2312"/>
          <w:sz w:val="32"/>
          <w:szCs w:val="32"/>
        </w:rPr>
        <w:t>人员的行程码、健康码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测量体温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sz w:val="32"/>
          <w:szCs w:val="32"/>
        </w:rPr>
        <w:t>医疗急救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等</w:t>
      </w:r>
      <w:r>
        <w:rPr>
          <w:rFonts w:hint="eastAsia" w:ascii="仿宋_GB2312" w:hAnsi="仿宋" w:eastAsia="仿宋_GB2312" w:cs="宋体"/>
          <w:sz w:val="32"/>
          <w:szCs w:val="32"/>
        </w:rPr>
        <w:t>工作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五、其它事项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按照疫情防控要求，所有参赛人员（含带队领导及司机）14天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内未离开全南县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域范围，并严格执行“扫码、测温”等防控措施。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各参赛队伍必须由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分管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领导带队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或指定一名副科级领导带队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，负责协调联络工作；同时要从参赛队员中指定1名负责人，管理队伍并组织队员有序参加比武活动。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（三）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参加比武竞赛人员必须是各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镇、场、公司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）已上报的半专业扑火队队员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所有参加活动人员（含带队领导）应统一乘车集中往返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（四）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比武使用机具由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县专业森林消防大队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统一保障，个人防护装备由各参赛队伍自备。比武活动开幕式、闭幕式穿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扑火服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穿迷彩鞋、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扑火头盔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；1500米负重跑统一穿体能服；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理论知识和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风力灭火机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油锯操作统一穿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扑火服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（五）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活动期间，各参赛队员要服从安排，听从指挥，尊重裁判，严格遵守比武竞赛的纪律和相关规定，严肃、认真对待比武活动。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附件：全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半专业扑火队大比武评分细则</w:t>
      </w:r>
    </w:p>
    <w:p>
      <w:pPr>
        <w:tabs>
          <w:tab w:val="left" w:pos="8520"/>
          <w:tab w:val="left" w:pos="13140"/>
        </w:tabs>
        <w:autoSpaceDE w:val="0"/>
        <w:autoSpaceDN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8520"/>
          <w:tab w:val="left" w:pos="13140"/>
        </w:tabs>
        <w:autoSpaceDE w:val="0"/>
        <w:autoSpaceDN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8520"/>
          <w:tab w:val="left" w:pos="13140"/>
        </w:tabs>
        <w:autoSpaceDE w:val="0"/>
        <w:autoSpaceDN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tabs>
          <w:tab w:val="left" w:pos="8520"/>
          <w:tab w:val="left" w:pos="13140"/>
        </w:tabs>
        <w:autoSpaceDE w:val="0"/>
        <w:autoSpaceDN w:val="0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tabs>
          <w:tab w:val="left" w:pos="8520"/>
          <w:tab w:val="left" w:pos="13140"/>
        </w:tabs>
        <w:autoSpaceDE w:val="0"/>
        <w:autoSpaceDN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：</w:t>
      </w:r>
    </w:p>
    <w:p>
      <w:pPr>
        <w:tabs>
          <w:tab w:val="left" w:pos="8520"/>
          <w:tab w:val="left" w:pos="13140"/>
        </w:tabs>
        <w:autoSpaceDE w:val="0"/>
        <w:autoSpaceDN w:val="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全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县</w:t>
      </w:r>
      <w:r>
        <w:rPr>
          <w:rFonts w:hint="eastAsia" w:ascii="方正小标宋简体" w:hAnsi="方正小标宋简体" w:eastAsia="方正小标宋简体"/>
          <w:sz w:val="44"/>
          <w:szCs w:val="44"/>
        </w:rPr>
        <w:t>半专业扑火队大比武评分细则</w:t>
      </w:r>
    </w:p>
    <w:tbl>
      <w:tblPr>
        <w:tblStyle w:val="5"/>
        <w:tblW w:w="139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740"/>
        <w:gridCol w:w="4225"/>
        <w:gridCol w:w="5469"/>
        <w:gridCol w:w="13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比武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科目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比武内容</w:t>
            </w:r>
          </w:p>
        </w:tc>
        <w:tc>
          <w:tcPr>
            <w:tcW w:w="4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比武规则</w:t>
            </w:r>
          </w:p>
        </w:tc>
        <w:tc>
          <w:tcPr>
            <w:tcW w:w="5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评分标准</w:t>
            </w: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tblHeader/>
          <w:jc w:val="center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(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分)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林火扑救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理论、扑火技能、扑火安全等知识。</w:t>
            </w:r>
          </w:p>
        </w:tc>
        <w:tc>
          <w:tcPr>
            <w:tcW w:w="4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在60分钟内完成闭卷测试，考试题目从《省森林防灭火题库》《森林草原灭火安全手册》中抽取。单选题占40%，填空题、判断题、简答题各占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0%。其中，扑火安全知识占50%。</w:t>
            </w:r>
          </w:p>
        </w:tc>
        <w:tc>
          <w:tcPr>
            <w:tcW w:w="5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试卷满分100分，按卷面分数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%权重计入队员个人总成绩。有作弊行为的计零分。以所有参赛队员的平均成绩计入团体总成绩。</w:t>
            </w: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全员参加，集中施考。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tblHeader/>
          <w:jc w:val="center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体能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分）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1500米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负重跑</w:t>
            </w:r>
          </w:p>
        </w:tc>
        <w:tc>
          <w:tcPr>
            <w:tcW w:w="4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队员按要求穿着10KG重的沙袋背心，听到信号开始起跑并计时，直至跑完1500米，记录所用的时间为比武成绩，成绩精确到秒（小数点后两位四舍五入）。</w:t>
            </w:r>
          </w:p>
        </w:tc>
        <w:tc>
          <w:tcPr>
            <w:tcW w:w="5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以实际用时作为个人成绩排名依据。有推搡对方、恶意竞争、未按照指定路线比赛的不计成绩。对所有参赛队员的平均用时进行排名，排名第一的计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分，每递减1名扣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0.5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分，所得分数计入团体总成绩。</w:t>
            </w: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报名参加，着体能服，分组施考。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tblHeader/>
          <w:jc w:val="center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比武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科目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比武内容</w:t>
            </w:r>
          </w:p>
        </w:tc>
        <w:tc>
          <w:tcPr>
            <w:tcW w:w="4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比武规则</w:t>
            </w:r>
          </w:p>
        </w:tc>
        <w:tc>
          <w:tcPr>
            <w:tcW w:w="5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评分标准</w:t>
            </w: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tblHeader/>
          <w:jc w:val="center"/>
        </w:trPr>
        <w:tc>
          <w:tcPr>
            <w:tcW w:w="12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救援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0分）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风力灭火机  操作（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分）</w:t>
            </w:r>
          </w:p>
        </w:tc>
        <w:tc>
          <w:tcPr>
            <w:tcW w:w="4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在起点启动背负式风力灭火机，将起始线的5块砖依次向前吹至10米处，作业全部完成后返回起始位置，关闭风机放回指定位置。记录队员从开始到结束的时间为其比武成绩，成绩精确到秒。</w:t>
            </w:r>
          </w:p>
        </w:tc>
        <w:tc>
          <w:tcPr>
            <w:tcW w:w="5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以实际用时作为个人成绩排名依据。恶意损坏装备或因操作失误致受伤的不计成绩；未按规定位置摆放装备或关闭装备的，实际用时增加5秒。对所有参赛队员的平均用时进行排名，排名第一的计2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分，每递减1名扣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0.5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分，所得分数计入团体总成绩。</w:t>
            </w: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报名参加，着防火服，分组施考。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tblHeader/>
          <w:jc w:val="center"/>
        </w:trPr>
        <w:tc>
          <w:tcPr>
            <w:tcW w:w="12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油锯操作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分）</w:t>
            </w:r>
          </w:p>
        </w:tc>
        <w:tc>
          <w:tcPr>
            <w:tcW w:w="4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使用油锯将预置圆木（直径不小于30厘米）按标识线完成切割后，将油锯关闭放回指定位置，并返回起点处。记录队员完成所有操作所用时间，作为比武成绩，成绩精确到秒。</w:t>
            </w:r>
          </w:p>
        </w:tc>
        <w:tc>
          <w:tcPr>
            <w:tcW w:w="54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以实际用时作为个人成绩排名依据。恶意损坏装备或因操作失误致受伤的不计成绩；</w:t>
            </w:r>
            <w:r>
              <w:rPr>
                <w:rStyle w:val="14"/>
                <w:rFonts w:hint="eastAsia" w:ascii="仿宋_GB2312" w:cs="仿宋_GB2312"/>
                <w:sz w:val="28"/>
                <w:szCs w:val="28"/>
              </w:rPr>
              <w:t>未按标识线切割，横切面不均匀，最宽处超过标线1厘米（含）的，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实际用时增加5秒；未按规定位置摆放装备或关闭装备的，实际用时增加5秒。对所有参赛队员的平均用时进行排名，排名第一的计2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分，每递减1名扣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0.5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分，所得分数计入团体总成绩。</w:t>
            </w: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报名参加，着防火服，分组施考。</w:t>
            </w:r>
          </w:p>
        </w:tc>
      </w:tr>
    </w:tbl>
    <w:p>
      <w:pPr>
        <w:spacing w:line="660" w:lineRule="exact"/>
        <w:jc w:val="left"/>
        <w:rPr>
          <w:rFonts w:ascii="宋体" w:hAnsi="宋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p>
      <w:pPr>
        <w:tabs>
          <w:tab w:val="left" w:pos="3193"/>
        </w:tabs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（信息公开形式：主动公开）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6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</w:tcPr>
          <w:p>
            <w:pPr>
              <w:tabs>
                <w:tab w:val="left" w:pos="3193"/>
              </w:tabs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抄送：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sz w:val="28"/>
              </w:rPr>
              <w:t>防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灭</w:t>
            </w:r>
            <w:r>
              <w:rPr>
                <w:rFonts w:hint="eastAsia" w:ascii="仿宋_GB2312" w:eastAsia="仿宋_GB2312"/>
                <w:sz w:val="28"/>
              </w:rPr>
              <w:t>火办，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县</w:t>
            </w:r>
            <w:r>
              <w:rPr>
                <w:rFonts w:hint="eastAsia" w:ascii="仿宋_GB2312" w:eastAsia="仿宋_GB2312"/>
                <w:sz w:val="28"/>
              </w:rPr>
              <w:t>森林防灭火指挥部指挥长、副指挥长。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6" w:type="dxa"/>
          </w:tcPr>
          <w:p>
            <w:pPr>
              <w:tabs>
                <w:tab w:val="left" w:pos="3193"/>
              </w:tabs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全南县</w:t>
            </w:r>
            <w:r>
              <w:rPr>
                <w:rFonts w:hint="eastAsia" w:ascii="仿宋_GB2312" w:eastAsia="仿宋_GB2312"/>
                <w:sz w:val="28"/>
              </w:rPr>
              <w:t>森林防灭火指挥部办公室         202</w:t>
            </w:r>
            <w:r>
              <w:rPr>
                <w:rFonts w:ascii="仿宋_GB2312" w:eastAsia="仿宋_GB2312"/>
                <w:sz w:val="28"/>
              </w:rPr>
              <w:t>2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7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18 </w:t>
            </w:r>
            <w:r>
              <w:rPr>
                <w:rFonts w:hint="eastAsia" w:ascii="仿宋_GB2312" w:eastAsia="仿宋_GB2312"/>
                <w:sz w:val="28"/>
              </w:rPr>
              <w:t>日印发</w:t>
            </w:r>
          </w:p>
        </w:tc>
      </w:tr>
    </w:tbl>
    <w:p>
      <w:pPr>
        <w:spacing w:line="660" w:lineRule="exact"/>
        <w:jc w:val="left"/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OGY3MDUwOTA1ZjU5ODg1NWU3OTdlOWM4MmJkMWYifQ=="/>
  </w:docVars>
  <w:rsids>
    <w:rsidRoot w:val="00071021"/>
    <w:rsid w:val="000050F4"/>
    <w:rsid w:val="000102CB"/>
    <w:rsid w:val="0002342D"/>
    <w:rsid w:val="00041889"/>
    <w:rsid w:val="0004717A"/>
    <w:rsid w:val="00057669"/>
    <w:rsid w:val="00071021"/>
    <w:rsid w:val="00075395"/>
    <w:rsid w:val="00090ECF"/>
    <w:rsid w:val="000A3605"/>
    <w:rsid w:val="000B0BC6"/>
    <w:rsid w:val="000C1664"/>
    <w:rsid w:val="000C55EF"/>
    <w:rsid w:val="000D784A"/>
    <w:rsid w:val="000E2666"/>
    <w:rsid w:val="000F44C9"/>
    <w:rsid w:val="001110CD"/>
    <w:rsid w:val="001158DC"/>
    <w:rsid w:val="00115D7A"/>
    <w:rsid w:val="00125DB4"/>
    <w:rsid w:val="001422B3"/>
    <w:rsid w:val="00171B06"/>
    <w:rsid w:val="00194754"/>
    <w:rsid w:val="0019488A"/>
    <w:rsid w:val="001A2030"/>
    <w:rsid w:val="001A20FC"/>
    <w:rsid w:val="001B01B2"/>
    <w:rsid w:val="001C5326"/>
    <w:rsid w:val="00237A87"/>
    <w:rsid w:val="00245DAF"/>
    <w:rsid w:val="00251221"/>
    <w:rsid w:val="0027288C"/>
    <w:rsid w:val="00287C39"/>
    <w:rsid w:val="002B66AB"/>
    <w:rsid w:val="002B76C0"/>
    <w:rsid w:val="002D0B50"/>
    <w:rsid w:val="00301AE3"/>
    <w:rsid w:val="0030476C"/>
    <w:rsid w:val="00306291"/>
    <w:rsid w:val="00355B4A"/>
    <w:rsid w:val="00374548"/>
    <w:rsid w:val="00374BCD"/>
    <w:rsid w:val="00382742"/>
    <w:rsid w:val="003D0455"/>
    <w:rsid w:val="003F1E4F"/>
    <w:rsid w:val="004121F1"/>
    <w:rsid w:val="00426951"/>
    <w:rsid w:val="00431FC8"/>
    <w:rsid w:val="00453B97"/>
    <w:rsid w:val="00457811"/>
    <w:rsid w:val="00463B8D"/>
    <w:rsid w:val="00464B3D"/>
    <w:rsid w:val="00470BAC"/>
    <w:rsid w:val="004743D0"/>
    <w:rsid w:val="004A36AB"/>
    <w:rsid w:val="004A3E1D"/>
    <w:rsid w:val="004B10C8"/>
    <w:rsid w:val="004B1EA5"/>
    <w:rsid w:val="004B71AB"/>
    <w:rsid w:val="004C5DBF"/>
    <w:rsid w:val="004D10F4"/>
    <w:rsid w:val="004D2459"/>
    <w:rsid w:val="004E1744"/>
    <w:rsid w:val="004F0C3E"/>
    <w:rsid w:val="005220E2"/>
    <w:rsid w:val="0054476B"/>
    <w:rsid w:val="0054563D"/>
    <w:rsid w:val="00597662"/>
    <w:rsid w:val="005B70DD"/>
    <w:rsid w:val="005C22A0"/>
    <w:rsid w:val="005D725E"/>
    <w:rsid w:val="00606F79"/>
    <w:rsid w:val="00624C36"/>
    <w:rsid w:val="006269A6"/>
    <w:rsid w:val="006343C2"/>
    <w:rsid w:val="0064284A"/>
    <w:rsid w:val="00643D01"/>
    <w:rsid w:val="00652A5B"/>
    <w:rsid w:val="00666B4C"/>
    <w:rsid w:val="0067345F"/>
    <w:rsid w:val="006D36C7"/>
    <w:rsid w:val="006D399F"/>
    <w:rsid w:val="006D44E0"/>
    <w:rsid w:val="006E5854"/>
    <w:rsid w:val="00710BD1"/>
    <w:rsid w:val="007118AC"/>
    <w:rsid w:val="007203A3"/>
    <w:rsid w:val="0073017A"/>
    <w:rsid w:val="00756C1A"/>
    <w:rsid w:val="0077488F"/>
    <w:rsid w:val="00790A17"/>
    <w:rsid w:val="00796999"/>
    <w:rsid w:val="007973AB"/>
    <w:rsid w:val="007B071C"/>
    <w:rsid w:val="007B51AA"/>
    <w:rsid w:val="007E399E"/>
    <w:rsid w:val="007F19E1"/>
    <w:rsid w:val="007F52E4"/>
    <w:rsid w:val="007F5FDB"/>
    <w:rsid w:val="008150B8"/>
    <w:rsid w:val="00836987"/>
    <w:rsid w:val="008434CA"/>
    <w:rsid w:val="0085253A"/>
    <w:rsid w:val="008535C3"/>
    <w:rsid w:val="008558D5"/>
    <w:rsid w:val="00856B0E"/>
    <w:rsid w:val="0088283D"/>
    <w:rsid w:val="00884028"/>
    <w:rsid w:val="008A3DC5"/>
    <w:rsid w:val="008C4111"/>
    <w:rsid w:val="008C65B3"/>
    <w:rsid w:val="008E1A3A"/>
    <w:rsid w:val="00905742"/>
    <w:rsid w:val="00906C1C"/>
    <w:rsid w:val="00925C19"/>
    <w:rsid w:val="00941E22"/>
    <w:rsid w:val="00976C11"/>
    <w:rsid w:val="009F33C0"/>
    <w:rsid w:val="009F5EE4"/>
    <w:rsid w:val="00A06FEC"/>
    <w:rsid w:val="00A549F0"/>
    <w:rsid w:val="00A60BF5"/>
    <w:rsid w:val="00A707A3"/>
    <w:rsid w:val="00AA1F7F"/>
    <w:rsid w:val="00AB10C3"/>
    <w:rsid w:val="00AB52F0"/>
    <w:rsid w:val="00AC30A7"/>
    <w:rsid w:val="00AC5F0F"/>
    <w:rsid w:val="00AC7B3F"/>
    <w:rsid w:val="00AD0B4F"/>
    <w:rsid w:val="00AD2A37"/>
    <w:rsid w:val="00AE231A"/>
    <w:rsid w:val="00B028D2"/>
    <w:rsid w:val="00B07FFD"/>
    <w:rsid w:val="00B27EFC"/>
    <w:rsid w:val="00B33935"/>
    <w:rsid w:val="00B46872"/>
    <w:rsid w:val="00B6146D"/>
    <w:rsid w:val="00B615D4"/>
    <w:rsid w:val="00B6631E"/>
    <w:rsid w:val="00B67E24"/>
    <w:rsid w:val="00B73BFF"/>
    <w:rsid w:val="00B91CC9"/>
    <w:rsid w:val="00BA2F8A"/>
    <w:rsid w:val="00BB300C"/>
    <w:rsid w:val="00BC71C5"/>
    <w:rsid w:val="00BC78A9"/>
    <w:rsid w:val="00BD291D"/>
    <w:rsid w:val="00BF011E"/>
    <w:rsid w:val="00C36AB4"/>
    <w:rsid w:val="00C37CE9"/>
    <w:rsid w:val="00C67E91"/>
    <w:rsid w:val="00C837C0"/>
    <w:rsid w:val="00C947B3"/>
    <w:rsid w:val="00D057F4"/>
    <w:rsid w:val="00D065A8"/>
    <w:rsid w:val="00D1060A"/>
    <w:rsid w:val="00D61612"/>
    <w:rsid w:val="00D653EE"/>
    <w:rsid w:val="00D67407"/>
    <w:rsid w:val="00D86504"/>
    <w:rsid w:val="00D9562B"/>
    <w:rsid w:val="00DA4C1A"/>
    <w:rsid w:val="00DC4630"/>
    <w:rsid w:val="00DD32DE"/>
    <w:rsid w:val="00DE2FCE"/>
    <w:rsid w:val="00DF214B"/>
    <w:rsid w:val="00E0181A"/>
    <w:rsid w:val="00E07EEC"/>
    <w:rsid w:val="00E16BA8"/>
    <w:rsid w:val="00E32F53"/>
    <w:rsid w:val="00E52C59"/>
    <w:rsid w:val="00E74F4C"/>
    <w:rsid w:val="00E80561"/>
    <w:rsid w:val="00E909D5"/>
    <w:rsid w:val="00EA23FA"/>
    <w:rsid w:val="00ED019E"/>
    <w:rsid w:val="00ED0419"/>
    <w:rsid w:val="00ED31BB"/>
    <w:rsid w:val="00EF2163"/>
    <w:rsid w:val="00F629A4"/>
    <w:rsid w:val="00F65737"/>
    <w:rsid w:val="00F6615C"/>
    <w:rsid w:val="00F70F82"/>
    <w:rsid w:val="00F82821"/>
    <w:rsid w:val="01C87919"/>
    <w:rsid w:val="01EB45BC"/>
    <w:rsid w:val="032B3936"/>
    <w:rsid w:val="040965E8"/>
    <w:rsid w:val="04C34663"/>
    <w:rsid w:val="05052822"/>
    <w:rsid w:val="051C0874"/>
    <w:rsid w:val="0532605E"/>
    <w:rsid w:val="06E518A1"/>
    <w:rsid w:val="08C113F4"/>
    <w:rsid w:val="0A4526D7"/>
    <w:rsid w:val="0AA46101"/>
    <w:rsid w:val="0AD36E7A"/>
    <w:rsid w:val="0E9F1F08"/>
    <w:rsid w:val="0ED13464"/>
    <w:rsid w:val="10EE3734"/>
    <w:rsid w:val="112371A2"/>
    <w:rsid w:val="12463240"/>
    <w:rsid w:val="136125BB"/>
    <w:rsid w:val="155C6BF1"/>
    <w:rsid w:val="15C50CAA"/>
    <w:rsid w:val="15F953D5"/>
    <w:rsid w:val="187201FA"/>
    <w:rsid w:val="19232435"/>
    <w:rsid w:val="1AD97763"/>
    <w:rsid w:val="1D1F3763"/>
    <w:rsid w:val="1DBF2307"/>
    <w:rsid w:val="202F06A6"/>
    <w:rsid w:val="2045554A"/>
    <w:rsid w:val="232A0081"/>
    <w:rsid w:val="25D96DF9"/>
    <w:rsid w:val="25EC6BEA"/>
    <w:rsid w:val="26211AAB"/>
    <w:rsid w:val="26467E50"/>
    <w:rsid w:val="26513B6B"/>
    <w:rsid w:val="278A7512"/>
    <w:rsid w:val="294F53D0"/>
    <w:rsid w:val="2963058D"/>
    <w:rsid w:val="296534B9"/>
    <w:rsid w:val="29FE31E8"/>
    <w:rsid w:val="2A236200"/>
    <w:rsid w:val="2CF07E85"/>
    <w:rsid w:val="2D7E3C87"/>
    <w:rsid w:val="2D975DB5"/>
    <w:rsid w:val="2E4F3A0B"/>
    <w:rsid w:val="2E5C5D76"/>
    <w:rsid w:val="2E664F94"/>
    <w:rsid w:val="2F88647F"/>
    <w:rsid w:val="32291BA4"/>
    <w:rsid w:val="335C00DD"/>
    <w:rsid w:val="34294E0D"/>
    <w:rsid w:val="343575B3"/>
    <w:rsid w:val="396E5676"/>
    <w:rsid w:val="3A6104E2"/>
    <w:rsid w:val="3A7820FC"/>
    <w:rsid w:val="3B8763FC"/>
    <w:rsid w:val="3BED424C"/>
    <w:rsid w:val="3DCC00F6"/>
    <w:rsid w:val="3F8B27ED"/>
    <w:rsid w:val="3F974BF2"/>
    <w:rsid w:val="3FA66120"/>
    <w:rsid w:val="43E37A0E"/>
    <w:rsid w:val="443133A9"/>
    <w:rsid w:val="453D73C3"/>
    <w:rsid w:val="47CA4148"/>
    <w:rsid w:val="48CA4EAD"/>
    <w:rsid w:val="4B3B1E75"/>
    <w:rsid w:val="4D8524EB"/>
    <w:rsid w:val="4E2552C3"/>
    <w:rsid w:val="4E5A25EA"/>
    <w:rsid w:val="4E811121"/>
    <w:rsid w:val="4F1976EA"/>
    <w:rsid w:val="4F423A23"/>
    <w:rsid w:val="4F791015"/>
    <w:rsid w:val="50FD43B8"/>
    <w:rsid w:val="526A5F7D"/>
    <w:rsid w:val="53025ABB"/>
    <w:rsid w:val="54D51B2F"/>
    <w:rsid w:val="55012C88"/>
    <w:rsid w:val="56425331"/>
    <w:rsid w:val="5650412B"/>
    <w:rsid w:val="56E66B20"/>
    <w:rsid w:val="57C1470D"/>
    <w:rsid w:val="57C81628"/>
    <w:rsid w:val="57DEADCF"/>
    <w:rsid w:val="58591D8A"/>
    <w:rsid w:val="59F45730"/>
    <w:rsid w:val="5C9F3528"/>
    <w:rsid w:val="5E2B3464"/>
    <w:rsid w:val="5F5226F9"/>
    <w:rsid w:val="6011127D"/>
    <w:rsid w:val="64B23277"/>
    <w:rsid w:val="64B72AEC"/>
    <w:rsid w:val="65086EB2"/>
    <w:rsid w:val="65807E9A"/>
    <w:rsid w:val="65E87078"/>
    <w:rsid w:val="667F4B99"/>
    <w:rsid w:val="673F0C0D"/>
    <w:rsid w:val="676D6251"/>
    <w:rsid w:val="677F5616"/>
    <w:rsid w:val="67BD5360"/>
    <w:rsid w:val="67EC3A8A"/>
    <w:rsid w:val="69903079"/>
    <w:rsid w:val="6A6C39C1"/>
    <w:rsid w:val="6AB62AA3"/>
    <w:rsid w:val="6BDDFA80"/>
    <w:rsid w:val="6E2F189B"/>
    <w:rsid w:val="6F2143EC"/>
    <w:rsid w:val="700D1924"/>
    <w:rsid w:val="7510238F"/>
    <w:rsid w:val="758A0922"/>
    <w:rsid w:val="769A1A91"/>
    <w:rsid w:val="76CD220E"/>
    <w:rsid w:val="772B59B1"/>
    <w:rsid w:val="78A92B01"/>
    <w:rsid w:val="799B7E22"/>
    <w:rsid w:val="79FD505B"/>
    <w:rsid w:val="7A6F5AB6"/>
    <w:rsid w:val="7B026DE9"/>
    <w:rsid w:val="7B3A2568"/>
    <w:rsid w:val="7B3E155D"/>
    <w:rsid w:val="7C3511FF"/>
    <w:rsid w:val="7D240BFB"/>
    <w:rsid w:val="7E0E3D78"/>
    <w:rsid w:val="7FC45EAA"/>
    <w:rsid w:val="7FE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Other|1"/>
    <w:basedOn w:val="1"/>
    <w:qFormat/>
    <w:uiPriority w:val="0"/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13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4">
    <w:name w:val="15"/>
    <w:qFormat/>
    <w:uiPriority w:val="0"/>
    <w:rPr>
      <w:rFonts w:hint="default" w:ascii="Calibri" w:hAnsi="Calibri" w:eastAsia="仿宋_GB2312" w:cs="Calibri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DA1F6-AD1D-45A0-AA6F-8333EE39A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2617</Words>
  <Characters>2681</Characters>
  <Lines>27</Lines>
  <Paragraphs>7</Paragraphs>
  <TotalTime>41</TotalTime>
  <ScaleCrop>false</ScaleCrop>
  <LinksUpToDate>false</LinksUpToDate>
  <CharactersWithSpaces>2818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2020-08-07T00:05:00Z</dcterms:created>
  <dc:creator>Lenovo User</dc:creator>
  <cp:lastModifiedBy>全南县应急局</cp:lastModifiedBy>
  <cp:lastPrinted>2022-07-21T03:33:00Z</cp:lastPrinted>
  <dcterms:modified xsi:type="dcterms:W3CDTF">2023-04-20T09:46:46Z</dcterms:modified>
  <dc:title>赣州市专业森林消防队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756E6D4685A74F5E8077184872C84A55_13</vt:lpwstr>
  </property>
</Properties>
</file>